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c4b0bee" w14:textId="c4b0bee">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C00BC2"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812C10">
              <w:rPr>
                <w:rFonts w:ascii="Arial" w:hAnsi="Arial" w:cs="Arial"/>
              </w:rPr>
              <w:t>250</w:t>
            </w:r>
            <w:r w:rsidRPr="00E32E7B" w:rsidR="00340399">
              <w:rPr>
                <w:rFonts w:ascii="Arial" w:hAnsi="Arial" w:cs="Arial"/>
              </w:rPr>
              <w:t>/</w:t>
            </w:r>
            <w:r w:rsidRPr="00E32E7B" w:rsidR="005D6DF6">
              <w:rPr>
                <w:rFonts w:ascii="Arial" w:hAnsi="Arial" w:cs="Arial"/>
              </w:rPr>
              <w:t>20</w:t>
            </w:r>
            <w:r w:rsidR="00812C10">
              <w:rPr>
                <w:rFonts w:ascii="Arial" w:hAnsi="Arial" w:cs="Arial"/>
              </w:rPr>
              <w:t>22</w:t>
            </w:r>
            <w:r w:rsidRPr="00E32E7B" w:rsidR="00891079">
              <w:rPr>
                <w:rFonts w:ascii="Arial" w:hAnsi="Arial" w:cs="Arial"/>
              </w:rPr>
              <w:t>-</w:t>
            </w:r>
            <w:r w:rsidR="00C00BC2">
              <w:rPr>
                <w:rFonts w:ascii="Arial" w:hAnsi="Arial" w:cs="Arial"/>
              </w:rPr>
              <w:t>20</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812C10">
        <w:rPr>
          <w:rFonts w:ascii="Arial" w:hAnsi="Arial" w:eastAsia="Times New Roman" w:cs="Arial"/>
          <w:sz w:val="24"/>
          <w:szCs w:val="24"/>
          <w:lang w:eastAsia="hr-HR"/>
        </w:rPr>
        <w:t>13</w:t>
      </w:r>
      <w:r w:rsidRPr="00E32E7B">
        <w:rPr>
          <w:rFonts w:ascii="Arial" w:hAnsi="Arial" w:eastAsia="Times New Roman" w:cs="Arial"/>
          <w:sz w:val="24"/>
          <w:szCs w:val="24"/>
          <w:lang w:eastAsia="hr-HR"/>
        </w:rPr>
        <w:t xml:space="preserve">. </w:t>
      </w:r>
      <w:r w:rsidR="00812C10">
        <w:rPr>
          <w:rFonts w:ascii="Arial" w:hAnsi="Arial" w:eastAsia="Times New Roman" w:cs="Arial"/>
          <w:sz w:val="24"/>
          <w:szCs w:val="24"/>
          <w:lang w:eastAsia="hr-HR"/>
        </w:rPr>
        <w:t>prosinca</w:t>
      </w:r>
      <w:r w:rsidRPr="00E32E7B" w:rsidR="005D6DF6">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00354E1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812C10" w:rsidR="00812C10">
        <w:rPr>
          <w:rFonts w:ascii="Arial" w:hAnsi="Arial" w:eastAsia="Times New Roman" w:cs="Arial"/>
          <w:sz w:val="24"/>
          <w:szCs w:val="24"/>
          <w:lang w:eastAsia="hr-HR"/>
        </w:rPr>
        <w:t>GOGO PRIJEVOZ I UGOSTITELJSTVO j.d.o.o.</w:t>
      </w:r>
      <w:r w:rsidR="00812C10">
        <w:rPr>
          <w:rFonts w:ascii="Arial" w:hAnsi="Arial" w:eastAsia="Times New Roman" w:cs="Arial"/>
          <w:sz w:val="24"/>
          <w:szCs w:val="24"/>
          <w:lang w:eastAsia="hr-HR"/>
        </w:rPr>
        <w:t xml:space="preserve"> u stečaju</w:t>
      </w:r>
      <w:r w:rsidRPr="00812C10" w:rsidR="00812C10">
        <w:rPr>
          <w:rFonts w:ascii="Arial" w:hAnsi="Arial" w:eastAsia="Times New Roman" w:cs="Arial"/>
          <w:sz w:val="24"/>
          <w:szCs w:val="24"/>
          <w:lang w:eastAsia="hr-HR"/>
        </w:rPr>
        <w:t xml:space="preserve">, Selci Križovljanski, </w:t>
      </w:r>
    </w:p>
    <w:p w:rsidRPr="00E32E7B" w:rsidR="003D557F" w:rsidP="00136B4A" w:rsidRDefault="00812C10">
      <w:pPr>
        <w:spacing w:after="0" w:line="240" w:lineRule="auto"/>
        <w:jc w:val="center"/>
        <w:rPr>
          <w:rFonts w:ascii="Arial" w:hAnsi="Arial" w:eastAsia="Times New Roman" w:cs="Arial"/>
          <w:sz w:val="24"/>
          <w:szCs w:val="24"/>
          <w:lang w:eastAsia="hr-HR"/>
        </w:rPr>
      </w:pPr>
      <w:r w:rsidRPr="00812C10">
        <w:rPr>
          <w:rFonts w:ascii="Arial" w:hAnsi="Arial" w:eastAsia="Times New Roman" w:cs="Arial"/>
          <w:sz w:val="24"/>
          <w:szCs w:val="24"/>
          <w:lang w:eastAsia="hr-HR"/>
        </w:rPr>
        <w:t>Selci Križovljanski 148, OIB:51107361076</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812C10">
        <w:rPr>
          <w:rFonts w:ascii="Arial" w:hAnsi="Arial" w:eastAsia="Times New Roman" w:cs="Arial"/>
          <w:sz w:val="24"/>
          <w:szCs w:val="24"/>
          <w:lang w:eastAsia="hr-HR"/>
        </w:rPr>
        <w:t>12</w:t>
      </w:r>
      <w:r w:rsidRPr="00E32E7B" w:rsidR="003D557F">
        <w:rPr>
          <w:rFonts w:ascii="Arial" w:hAnsi="Arial" w:eastAsia="Times New Roman" w:cs="Arial"/>
          <w:sz w:val="24"/>
          <w:szCs w:val="24"/>
          <w:lang w:eastAsia="hr-HR"/>
        </w:rPr>
        <w:t>:</w:t>
      </w:r>
      <w:r w:rsidR="00812C10">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812C10">
        <w:rPr>
          <w:rFonts w:ascii="Arial" w:hAnsi="Arial" w:eastAsia="Times New Roman" w:cs="Arial"/>
          <w:sz w:val="24"/>
          <w:szCs w:val="24"/>
          <w:lang w:eastAsia="hr-HR"/>
        </w:rPr>
        <w:t>30</w:t>
      </w:r>
      <w:r w:rsidRPr="00E32E7B">
        <w:rPr>
          <w:rFonts w:ascii="Arial" w:hAnsi="Arial" w:eastAsia="Times New Roman" w:cs="Arial"/>
          <w:sz w:val="24"/>
          <w:szCs w:val="24"/>
          <w:lang w:eastAsia="hr-HR"/>
        </w:rPr>
        <w:t xml:space="preserve">. </w:t>
      </w:r>
      <w:r w:rsidR="00812C10">
        <w:rPr>
          <w:rFonts w:ascii="Arial" w:hAnsi="Arial" w:eastAsia="Times New Roman" w:cs="Arial"/>
          <w:sz w:val="24"/>
          <w:szCs w:val="24"/>
          <w:lang w:eastAsia="hr-HR"/>
        </w:rPr>
        <w:t>kolovoza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3145A5" w:rsidR="003D557F" w:rsidP="003D557F" w:rsidRDefault="00147D7D">
      <w:pPr>
        <w:spacing w:after="0" w:line="240" w:lineRule="auto"/>
        <w:jc w:val="both"/>
        <w:rPr>
          <w:rFonts w:ascii="Arial" w:hAnsi="Arial" w:eastAsia="Times New Roman" w:cs="Arial"/>
          <w:sz w:val="24"/>
          <w:szCs w:val="24"/>
          <w:lang w:eastAsia="hr-HR"/>
        </w:rPr>
      </w:pPr>
      <w:r w:rsidRPr="003145A5">
        <w:rPr>
          <w:rFonts w:ascii="Arial" w:hAnsi="Arial" w:eastAsia="Times New Roman" w:cs="Arial"/>
          <w:sz w:val="24"/>
          <w:szCs w:val="24"/>
          <w:lang w:eastAsia="hr-HR"/>
        </w:rPr>
        <w:t>- stečajn</w:t>
      </w:r>
      <w:r w:rsidRPr="003145A5" w:rsidR="00752D2F">
        <w:rPr>
          <w:rFonts w:ascii="Arial" w:hAnsi="Arial" w:eastAsia="Times New Roman" w:cs="Arial"/>
          <w:sz w:val="24"/>
          <w:szCs w:val="24"/>
          <w:lang w:eastAsia="hr-HR"/>
        </w:rPr>
        <w:t>i</w:t>
      </w:r>
      <w:r w:rsidRPr="003145A5" w:rsidR="003D557F">
        <w:rPr>
          <w:rFonts w:ascii="Arial" w:hAnsi="Arial" w:eastAsia="Times New Roman" w:cs="Arial"/>
          <w:sz w:val="24"/>
          <w:szCs w:val="24"/>
          <w:lang w:eastAsia="hr-HR"/>
        </w:rPr>
        <w:t xml:space="preserve"> upravitelj</w:t>
      </w:r>
      <w:r w:rsidRPr="003145A5" w:rsidR="00891079">
        <w:rPr>
          <w:rFonts w:ascii="Arial" w:hAnsi="Arial" w:eastAsia="Times New Roman" w:cs="Arial"/>
          <w:sz w:val="24"/>
          <w:szCs w:val="24"/>
          <w:lang w:eastAsia="hr-HR"/>
        </w:rPr>
        <w:t xml:space="preserve">: </w:t>
      </w:r>
      <w:r w:rsidRPr="003145A5" w:rsidR="00812C10">
        <w:rPr>
          <w:rFonts w:ascii="Arial" w:hAnsi="Arial" w:eastAsia="Times New Roman" w:cs="Arial"/>
          <w:sz w:val="24"/>
          <w:szCs w:val="24"/>
          <w:lang w:eastAsia="hr-HR"/>
        </w:rPr>
        <w:t>Slavica Orehovec</w:t>
      </w:r>
      <w:r w:rsidRPr="003145A5" w:rsidR="003D557F">
        <w:rPr>
          <w:rFonts w:ascii="Arial" w:hAnsi="Arial" w:eastAsia="Times New Roman" w:cs="Arial"/>
          <w:sz w:val="24"/>
          <w:szCs w:val="24"/>
          <w:lang w:eastAsia="hr-HR"/>
        </w:rPr>
        <w:t xml:space="preserve"> </w:t>
      </w:r>
    </w:p>
    <w:p w:rsidRPr="003145A5" w:rsidR="0085216E" w:rsidP="0085216E" w:rsidRDefault="0085216E">
      <w:pPr>
        <w:spacing w:after="0" w:line="240" w:lineRule="auto"/>
        <w:jc w:val="both"/>
        <w:rPr>
          <w:rFonts w:ascii="Arial" w:hAnsi="Arial" w:eastAsia="Times New Roman" w:cs="Arial"/>
          <w:sz w:val="24"/>
          <w:szCs w:val="24"/>
          <w:lang w:eastAsia="hr-HR"/>
        </w:rPr>
      </w:pPr>
      <w:r w:rsidRPr="003145A5">
        <w:rPr>
          <w:rFonts w:ascii="Arial" w:hAnsi="Arial" w:eastAsia="Times New Roman" w:cs="Arial"/>
          <w:sz w:val="24"/>
          <w:szCs w:val="24"/>
          <w:lang w:eastAsia="hr-HR"/>
        </w:rPr>
        <w:t xml:space="preserve">- </w:t>
      </w:r>
      <w:r w:rsidRPr="003145A5" w:rsidR="00712D5B">
        <w:rPr>
          <w:rFonts w:ascii="Arial" w:hAnsi="Arial" w:eastAsia="Times New Roman" w:cs="Arial"/>
          <w:sz w:val="24"/>
          <w:szCs w:val="24"/>
          <w:lang w:eastAsia="hr-HR"/>
        </w:rPr>
        <w:t xml:space="preserve">za </w:t>
      </w:r>
      <w:r w:rsidRPr="003145A5" w:rsidR="00CC62D2">
        <w:rPr>
          <w:rFonts w:ascii="Arial" w:hAnsi="Arial" w:eastAsia="Times New Roman" w:cs="Arial"/>
          <w:sz w:val="24"/>
          <w:szCs w:val="24"/>
          <w:lang w:eastAsia="hr-HR"/>
        </w:rPr>
        <w:t>vjerovnika</w:t>
      </w:r>
      <w:r w:rsidRPr="003145A5">
        <w:rPr>
          <w:rFonts w:ascii="Arial" w:hAnsi="Arial" w:eastAsia="Times New Roman" w:cs="Arial"/>
          <w:sz w:val="24"/>
          <w:szCs w:val="24"/>
          <w:lang w:eastAsia="hr-HR"/>
        </w:rPr>
        <w:t xml:space="preserve"> RH, zastupn</w:t>
      </w:r>
      <w:r w:rsidRPr="003145A5" w:rsidR="00FB3326">
        <w:rPr>
          <w:rFonts w:ascii="Arial" w:hAnsi="Arial" w:eastAsia="Times New Roman" w:cs="Arial"/>
          <w:sz w:val="24"/>
          <w:szCs w:val="24"/>
          <w:lang w:eastAsia="hr-HR"/>
        </w:rPr>
        <w:t>i</w:t>
      </w:r>
      <w:r w:rsidRPr="003145A5" w:rsidR="003145A5">
        <w:rPr>
          <w:rFonts w:ascii="Arial" w:hAnsi="Arial" w:eastAsia="Times New Roman" w:cs="Arial"/>
          <w:sz w:val="24"/>
          <w:szCs w:val="24"/>
          <w:lang w:eastAsia="hr-HR"/>
        </w:rPr>
        <w:t>ca</w:t>
      </w:r>
      <w:r w:rsidRPr="003145A5">
        <w:rPr>
          <w:rFonts w:ascii="Arial" w:hAnsi="Arial" w:eastAsia="Times New Roman" w:cs="Arial"/>
          <w:sz w:val="24"/>
          <w:szCs w:val="24"/>
          <w:lang w:eastAsia="hr-HR"/>
        </w:rPr>
        <w:t xml:space="preserve"> po zakonu </w:t>
      </w:r>
      <w:r w:rsidRPr="003145A5" w:rsidR="003145A5">
        <w:rPr>
          <w:rFonts w:ascii="Arial" w:hAnsi="Arial" w:eastAsia="Times New Roman" w:cs="Arial"/>
          <w:sz w:val="24"/>
          <w:szCs w:val="24"/>
          <w:lang w:eastAsia="hr-HR"/>
        </w:rPr>
        <w:t>Tanja Purić Stamenković</w:t>
      </w:r>
      <w:r w:rsidRPr="003145A5">
        <w:rPr>
          <w:rFonts w:ascii="Arial" w:hAnsi="Arial" w:eastAsia="Times New Roman" w:cs="Arial"/>
          <w:sz w:val="24"/>
          <w:szCs w:val="24"/>
          <w:lang w:eastAsia="hr-HR"/>
        </w:rPr>
        <w:t>, zamjeni</w:t>
      </w:r>
      <w:r w:rsidRPr="003145A5" w:rsidR="003145A5">
        <w:rPr>
          <w:rFonts w:ascii="Arial" w:hAnsi="Arial" w:eastAsia="Times New Roman" w:cs="Arial"/>
          <w:sz w:val="24"/>
          <w:szCs w:val="24"/>
          <w:lang w:eastAsia="hr-HR"/>
        </w:rPr>
        <w:t>ca</w:t>
      </w:r>
      <w:r w:rsidRPr="003145A5">
        <w:rPr>
          <w:rFonts w:ascii="Arial" w:hAnsi="Arial" w:eastAsia="Times New Roman" w:cs="Arial"/>
          <w:sz w:val="24"/>
          <w:szCs w:val="24"/>
          <w:lang w:eastAsia="hr-HR"/>
        </w:rPr>
        <w:t xml:space="preserve"> ŽDO Varaždin, Građansko upravni odjel</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Stečajnog zakona </w:t>
      </w:r>
      <w:r w:rsidR="003145A5">
        <w:rPr>
          <w:rFonts w:ascii="Arial" w:hAnsi="Arial" w:eastAsia="Times New Roman" w:cs="Arial"/>
          <w:sz w:val="24"/>
          <w:szCs w:val="24"/>
          <w:lang w:eastAsia="hr-HR"/>
        </w:rPr>
        <w:t xml:space="preserve">(Narodne novine, broj 71/15, </w:t>
      </w:r>
      <w:r w:rsidR="00354E1F">
        <w:rPr>
          <w:rFonts w:ascii="Arial" w:hAnsi="Arial" w:eastAsia="Times New Roman" w:cs="Arial"/>
          <w:sz w:val="24"/>
          <w:szCs w:val="24"/>
          <w:lang w:eastAsia="hr-HR"/>
        </w:rPr>
        <w:t>104/17</w:t>
      </w:r>
      <w:r w:rsidR="003145A5">
        <w:rPr>
          <w:rFonts w:ascii="Arial" w:hAnsi="Arial" w:eastAsia="Times New Roman" w:cs="Arial"/>
          <w:sz w:val="24"/>
          <w:szCs w:val="24"/>
          <w:lang w:eastAsia="hr-HR"/>
        </w:rPr>
        <w:t xml:space="preserve"> i 36/22</w:t>
      </w:r>
      <w:r w:rsidR="00354E1F">
        <w:rPr>
          <w:rFonts w:ascii="Arial" w:hAnsi="Arial" w:eastAsia="Times New Roman" w:cs="Arial"/>
          <w:sz w:val="24"/>
          <w:szCs w:val="24"/>
          <w:lang w:eastAsia="hr-HR"/>
        </w:rPr>
        <w:t xml:space="preserve">, dalje u tekstu: SZ) </w:t>
      </w:r>
      <w:r w:rsidRPr="00E32E7B">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 VIŠI ISPLATNI RED </w:t>
      </w:r>
    </w:p>
    <w:p w:rsidRPr="00E32E7B"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0"/>
        <w:gridCol w:w="1866"/>
        <w:gridCol w:w="1402"/>
        <w:gridCol w:w="1402"/>
        <w:gridCol w:w="1402"/>
        <w:gridCol w:w="1289"/>
        <w:gridCol w:w="1287"/>
      </w:tblGrid>
      <w:tr w:rsidRPr="00E32E7B" w:rsidR="00953ED2" w:rsidTr="00953ED2">
        <w:trPr>
          <w:trHeight w:val="1268"/>
        </w:trPr>
        <w:tc>
          <w:tcPr>
            <w:tcW w:w="344"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953ED2" w:rsidP="00A954D4" w:rsidRDefault="00953ED2">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Red. broj</w:t>
            </w:r>
          </w:p>
        </w:tc>
        <w:tc>
          <w:tcPr>
            <w:tcW w:w="1004"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953ED2" w:rsidP="00A954D4" w:rsidRDefault="00953ED2">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Ime i prezime / tvrtka  ili naziv vjerovnika/ OIB</w:t>
            </w:r>
          </w:p>
        </w:tc>
        <w:tc>
          <w:tcPr>
            <w:tcW w:w="75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953ED2" w:rsidP="00A954D4" w:rsidRDefault="00953ED2">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prijavljene tražbine (kn)</w:t>
            </w:r>
          </w:p>
        </w:tc>
        <w:tc>
          <w:tcPr>
            <w:tcW w:w="75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953ED2" w:rsidP="00A954D4" w:rsidRDefault="00953ED2">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priznate tražbine</w:t>
            </w:r>
          </w:p>
          <w:p w:rsidRPr="00E32E7B" w:rsidR="00953ED2" w:rsidP="00A954D4" w:rsidRDefault="00953ED2">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75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953ED2" w:rsidP="00A954D4" w:rsidRDefault="00953ED2">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osporene tražbine</w:t>
            </w:r>
          </w:p>
          <w:p w:rsidRPr="00E32E7B" w:rsidR="00953ED2" w:rsidP="00A954D4" w:rsidRDefault="00953ED2">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694"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953ED2" w:rsidP="00A954D4" w:rsidRDefault="00953ED2">
            <w:pPr>
              <w:spacing w:after="80" w:line="240" w:lineRule="auto"/>
              <w:jc w:val="center"/>
              <w:rPr>
                <w:rFonts w:ascii="Arial" w:hAnsi="Arial" w:eastAsia="Times New Roman" w:cs="Arial"/>
                <w:sz w:val="20"/>
                <w:szCs w:val="20"/>
              </w:rPr>
            </w:pPr>
          </w:p>
        </w:tc>
        <w:tc>
          <w:tcPr>
            <w:tcW w:w="693"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953ED2" w:rsidP="00A954D4" w:rsidRDefault="00953ED2">
            <w:pPr>
              <w:spacing w:after="80" w:line="240" w:lineRule="auto"/>
              <w:jc w:val="center"/>
              <w:rPr>
                <w:rFonts w:ascii="Arial" w:hAnsi="Arial" w:eastAsia="Times New Roman" w:cs="Arial"/>
                <w:sz w:val="20"/>
                <w:szCs w:val="20"/>
              </w:rPr>
            </w:pPr>
          </w:p>
          <w:p w:rsidRPr="00E32E7B" w:rsidR="00953ED2" w:rsidP="00A954D4" w:rsidRDefault="00953ED2">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Napomena</w:t>
            </w:r>
          </w:p>
        </w:tc>
      </w:tr>
      <w:tr w:rsidRPr="00E32E7B" w:rsidR="00953ED2" w:rsidTr="00953ED2">
        <w:trPr>
          <w:trHeight w:val="930"/>
        </w:trPr>
        <w:tc>
          <w:tcPr>
            <w:tcW w:w="344" w:type="pct"/>
            <w:tcBorders>
              <w:top w:val="single" w:color="auto" w:sz="4" w:space="0"/>
              <w:left w:val="single" w:color="auto" w:sz="4" w:space="0"/>
              <w:bottom w:val="single" w:color="auto" w:sz="4" w:space="0"/>
              <w:right w:val="single" w:color="auto" w:sz="4" w:space="0"/>
            </w:tcBorders>
          </w:tcPr>
          <w:p w:rsidR="00953ED2" w:rsidP="00306E84" w:rsidRDefault="00953ED2">
            <w:pPr>
              <w:spacing w:after="80" w:line="240" w:lineRule="auto"/>
              <w:jc w:val="center"/>
              <w:rPr>
                <w:rFonts w:ascii="Arial" w:hAnsi="Arial" w:eastAsia="Times New Roman" w:cs="Arial"/>
                <w:color w:val="000000" w:themeColor="text1"/>
                <w:sz w:val="20"/>
                <w:szCs w:val="20"/>
              </w:rPr>
            </w:pPr>
          </w:p>
          <w:p w:rsidRPr="00E32E7B"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1</w:t>
            </w:r>
          </w:p>
        </w:tc>
        <w:tc>
          <w:tcPr>
            <w:tcW w:w="1004" w:type="pct"/>
            <w:tcBorders>
              <w:top w:val="single" w:color="auto" w:sz="4" w:space="0"/>
              <w:left w:val="single" w:color="auto" w:sz="4" w:space="0"/>
              <w:bottom w:val="single" w:color="auto" w:sz="4" w:space="0"/>
              <w:right w:val="single" w:color="auto" w:sz="4" w:space="0"/>
            </w:tcBorders>
          </w:tcPr>
          <w:p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 xml:space="preserve">Melita Košutar, </w:t>
            </w:r>
          </w:p>
          <w:p w:rsidRPr="00E32E7B"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Selci Križovljanski OIB:93510413045</w:t>
            </w:r>
          </w:p>
        </w:tc>
        <w:tc>
          <w:tcPr>
            <w:tcW w:w="755" w:type="pct"/>
            <w:tcBorders>
              <w:top w:val="single" w:color="auto" w:sz="4" w:space="0"/>
              <w:left w:val="single" w:color="auto" w:sz="4" w:space="0"/>
              <w:bottom w:val="single" w:color="auto" w:sz="4" w:space="0"/>
              <w:right w:val="single" w:color="auto" w:sz="4" w:space="0"/>
            </w:tcBorders>
          </w:tcPr>
          <w:p w:rsidR="00953ED2" w:rsidP="000114EC" w:rsidRDefault="00953ED2">
            <w:pPr>
              <w:spacing w:after="80" w:line="240" w:lineRule="auto"/>
              <w:jc w:val="right"/>
              <w:rPr>
                <w:rFonts w:ascii="Arial" w:hAnsi="Arial" w:eastAsia="Times New Roman" w:cs="Arial"/>
                <w:color w:val="000000" w:themeColor="text1"/>
                <w:sz w:val="20"/>
                <w:szCs w:val="20"/>
              </w:rPr>
            </w:pPr>
          </w:p>
          <w:p w:rsidR="00953ED2" w:rsidP="000114EC" w:rsidRDefault="00953ED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3.333,32</w:t>
            </w:r>
          </w:p>
        </w:tc>
        <w:tc>
          <w:tcPr>
            <w:tcW w:w="755" w:type="pct"/>
            <w:tcBorders>
              <w:top w:val="single" w:color="auto" w:sz="4" w:space="0"/>
              <w:left w:val="single" w:color="auto" w:sz="4" w:space="0"/>
              <w:bottom w:val="single" w:color="auto" w:sz="4" w:space="0"/>
              <w:right w:val="single" w:color="auto" w:sz="4" w:space="0"/>
            </w:tcBorders>
          </w:tcPr>
          <w:p w:rsidR="00953ED2" w:rsidP="007B628C" w:rsidRDefault="00953ED2">
            <w:pPr>
              <w:spacing w:after="80" w:line="240" w:lineRule="auto"/>
              <w:jc w:val="right"/>
              <w:rPr>
                <w:rFonts w:ascii="Arial" w:hAnsi="Arial" w:eastAsia="Times New Roman" w:cs="Arial"/>
                <w:color w:val="000000" w:themeColor="text1"/>
                <w:sz w:val="20"/>
                <w:szCs w:val="20"/>
              </w:rPr>
            </w:pPr>
          </w:p>
          <w:p w:rsidR="00953ED2" w:rsidP="007B628C" w:rsidRDefault="00953ED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3.333,32</w:t>
            </w:r>
          </w:p>
        </w:tc>
        <w:tc>
          <w:tcPr>
            <w:tcW w:w="755" w:type="pct"/>
            <w:tcBorders>
              <w:top w:val="single" w:color="auto" w:sz="4" w:space="0"/>
              <w:left w:val="single" w:color="auto" w:sz="4" w:space="0"/>
              <w:bottom w:val="single" w:color="auto" w:sz="4" w:space="0"/>
              <w:right w:val="single" w:color="auto" w:sz="4" w:space="0"/>
            </w:tcBorders>
          </w:tcPr>
          <w:p w:rsidR="00953ED2" w:rsidP="00306E84" w:rsidRDefault="00953ED2">
            <w:pPr>
              <w:spacing w:after="80" w:line="240" w:lineRule="auto"/>
              <w:jc w:val="center"/>
              <w:rPr>
                <w:rFonts w:ascii="Arial" w:hAnsi="Arial" w:eastAsia="Times New Roman" w:cs="Arial"/>
                <w:color w:val="000000" w:themeColor="text1"/>
                <w:sz w:val="20"/>
                <w:szCs w:val="20"/>
              </w:rPr>
            </w:pPr>
          </w:p>
          <w:p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0,00</w:t>
            </w:r>
          </w:p>
        </w:tc>
        <w:tc>
          <w:tcPr>
            <w:tcW w:w="694" w:type="pct"/>
            <w:tcBorders>
              <w:top w:val="single" w:color="auto" w:sz="4" w:space="0"/>
              <w:left w:val="single" w:color="auto" w:sz="4" w:space="0"/>
              <w:bottom w:val="single" w:color="auto" w:sz="4" w:space="0"/>
              <w:right w:val="single" w:color="auto" w:sz="4" w:space="0"/>
            </w:tcBorders>
          </w:tcPr>
          <w:p w:rsidRPr="00E32E7B" w:rsidR="00953ED2" w:rsidP="00306E84" w:rsidRDefault="00953ED2">
            <w:pPr>
              <w:spacing w:after="80" w:line="240" w:lineRule="auto"/>
              <w:jc w:val="center"/>
              <w:rPr>
                <w:rFonts w:ascii="Arial" w:hAnsi="Arial" w:eastAsia="Times New Roman" w:cs="Arial"/>
                <w:color w:val="000000" w:themeColor="text1"/>
                <w:sz w:val="20"/>
                <w:szCs w:val="20"/>
              </w:rPr>
            </w:pPr>
          </w:p>
        </w:tc>
        <w:tc>
          <w:tcPr>
            <w:tcW w:w="693" w:type="pct"/>
            <w:tcBorders>
              <w:top w:val="single" w:color="auto" w:sz="4" w:space="0"/>
              <w:left w:val="single" w:color="auto" w:sz="4" w:space="0"/>
              <w:bottom w:val="single" w:color="auto" w:sz="4" w:space="0"/>
              <w:right w:val="single" w:color="auto" w:sz="4" w:space="0"/>
            </w:tcBorders>
          </w:tcPr>
          <w:p w:rsidRPr="00E32E7B" w:rsidR="00953ED2" w:rsidP="00306E84" w:rsidRDefault="00953ED2">
            <w:pPr>
              <w:spacing w:after="80" w:line="240" w:lineRule="auto"/>
              <w:jc w:val="center"/>
              <w:rPr>
                <w:rFonts w:ascii="Arial" w:hAnsi="Arial" w:eastAsia="Times New Roman" w:cs="Arial"/>
                <w:color w:val="000000" w:themeColor="text1"/>
                <w:sz w:val="20"/>
                <w:szCs w:val="20"/>
              </w:rPr>
            </w:pPr>
          </w:p>
        </w:tc>
      </w:tr>
      <w:tr w:rsidRPr="00E32E7B" w:rsidR="00953ED2" w:rsidTr="00953ED2">
        <w:trPr>
          <w:trHeight w:val="930"/>
        </w:trPr>
        <w:tc>
          <w:tcPr>
            <w:tcW w:w="344" w:type="pct"/>
            <w:tcBorders>
              <w:top w:val="single" w:color="auto" w:sz="4" w:space="0"/>
              <w:left w:val="single" w:color="auto" w:sz="4" w:space="0"/>
              <w:bottom w:val="single" w:color="auto" w:sz="4" w:space="0"/>
              <w:right w:val="single" w:color="auto" w:sz="4" w:space="0"/>
            </w:tcBorders>
          </w:tcPr>
          <w:p w:rsidR="00953ED2" w:rsidP="00306E84" w:rsidRDefault="00953ED2">
            <w:pPr>
              <w:spacing w:after="80" w:line="240" w:lineRule="auto"/>
              <w:jc w:val="center"/>
              <w:rPr>
                <w:rFonts w:ascii="Arial" w:hAnsi="Arial" w:eastAsia="Times New Roman" w:cs="Arial"/>
                <w:color w:val="000000" w:themeColor="text1"/>
                <w:sz w:val="20"/>
                <w:szCs w:val="20"/>
              </w:rPr>
            </w:pPr>
          </w:p>
          <w:p w:rsidRPr="00E32E7B"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2</w:t>
            </w:r>
          </w:p>
        </w:tc>
        <w:tc>
          <w:tcPr>
            <w:tcW w:w="1004" w:type="pct"/>
            <w:tcBorders>
              <w:top w:val="single" w:color="auto" w:sz="4" w:space="0"/>
              <w:left w:val="single" w:color="auto" w:sz="4" w:space="0"/>
              <w:bottom w:val="single" w:color="auto" w:sz="4" w:space="0"/>
              <w:right w:val="single" w:color="auto" w:sz="4" w:space="0"/>
            </w:tcBorders>
          </w:tcPr>
          <w:p w:rsidRPr="00E32E7B"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Gorazd Hrnčić, Cestica OIB:85558128535</w:t>
            </w:r>
          </w:p>
        </w:tc>
        <w:tc>
          <w:tcPr>
            <w:tcW w:w="755" w:type="pct"/>
            <w:tcBorders>
              <w:top w:val="single" w:color="auto" w:sz="4" w:space="0"/>
              <w:left w:val="single" w:color="auto" w:sz="4" w:space="0"/>
              <w:bottom w:val="single" w:color="auto" w:sz="4" w:space="0"/>
              <w:right w:val="single" w:color="auto" w:sz="4" w:space="0"/>
            </w:tcBorders>
          </w:tcPr>
          <w:p w:rsidR="00953ED2" w:rsidP="000114EC" w:rsidRDefault="00953ED2">
            <w:pPr>
              <w:spacing w:after="80" w:line="240" w:lineRule="auto"/>
              <w:jc w:val="right"/>
              <w:rPr>
                <w:rFonts w:ascii="Arial" w:hAnsi="Arial" w:eastAsia="Times New Roman" w:cs="Arial"/>
                <w:color w:val="000000" w:themeColor="text1"/>
                <w:sz w:val="20"/>
                <w:szCs w:val="20"/>
              </w:rPr>
            </w:pPr>
          </w:p>
          <w:p w:rsidR="00953ED2" w:rsidP="000114EC" w:rsidRDefault="00953ED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4.132,70</w:t>
            </w:r>
          </w:p>
        </w:tc>
        <w:tc>
          <w:tcPr>
            <w:tcW w:w="755" w:type="pct"/>
            <w:tcBorders>
              <w:top w:val="single" w:color="auto" w:sz="4" w:space="0"/>
              <w:left w:val="single" w:color="auto" w:sz="4" w:space="0"/>
              <w:bottom w:val="single" w:color="auto" w:sz="4" w:space="0"/>
              <w:right w:val="single" w:color="auto" w:sz="4" w:space="0"/>
            </w:tcBorders>
          </w:tcPr>
          <w:p w:rsidR="00953ED2" w:rsidP="007B628C" w:rsidRDefault="00953ED2">
            <w:pPr>
              <w:spacing w:after="80" w:line="240" w:lineRule="auto"/>
              <w:jc w:val="right"/>
              <w:rPr>
                <w:rFonts w:ascii="Arial" w:hAnsi="Arial" w:eastAsia="Times New Roman" w:cs="Arial"/>
                <w:color w:val="000000" w:themeColor="text1"/>
                <w:sz w:val="20"/>
                <w:szCs w:val="20"/>
              </w:rPr>
            </w:pPr>
          </w:p>
          <w:p w:rsidR="00953ED2" w:rsidP="007B628C" w:rsidRDefault="00953ED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4.132,70</w:t>
            </w:r>
          </w:p>
        </w:tc>
        <w:tc>
          <w:tcPr>
            <w:tcW w:w="755" w:type="pct"/>
            <w:tcBorders>
              <w:top w:val="single" w:color="auto" w:sz="4" w:space="0"/>
              <w:left w:val="single" w:color="auto" w:sz="4" w:space="0"/>
              <w:bottom w:val="single" w:color="auto" w:sz="4" w:space="0"/>
              <w:right w:val="single" w:color="auto" w:sz="4" w:space="0"/>
            </w:tcBorders>
          </w:tcPr>
          <w:p w:rsidR="00953ED2" w:rsidP="00306E84" w:rsidRDefault="00953ED2">
            <w:pPr>
              <w:spacing w:after="80" w:line="240" w:lineRule="auto"/>
              <w:jc w:val="center"/>
              <w:rPr>
                <w:rFonts w:ascii="Arial" w:hAnsi="Arial" w:eastAsia="Times New Roman" w:cs="Arial"/>
                <w:color w:val="000000" w:themeColor="text1"/>
                <w:sz w:val="20"/>
                <w:szCs w:val="20"/>
              </w:rPr>
            </w:pPr>
          </w:p>
          <w:p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0,00</w:t>
            </w:r>
          </w:p>
        </w:tc>
        <w:tc>
          <w:tcPr>
            <w:tcW w:w="694" w:type="pct"/>
            <w:tcBorders>
              <w:top w:val="single" w:color="auto" w:sz="4" w:space="0"/>
              <w:left w:val="single" w:color="auto" w:sz="4" w:space="0"/>
              <w:bottom w:val="single" w:color="auto" w:sz="4" w:space="0"/>
              <w:right w:val="single" w:color="auto" w:sz="4" w:space="0"/>
            </w:tcBorders>
          </w:tcPr>
          <w:p w:rsidRPr="00E32E7B" w:rsidR="00953ED2" w:rsidP="00306E84" w:rsidRDefault="00953ED2">
            <w:pPr>
              <w:spacing w:after="80" w:line="240" w:lineRule="auto"/>
              <w:jc w:val="center"/>
              <w:rPr>
                <w:rFonts w:ascii="Arial" w:hAnsi="Arial" w:eastAsia="Times New Roman" w:cs="Arial"/>
                <w:color w:val="000000" w:themeColor="text1"/>
                <w:sz w:val="20"/>
                <w:szCs w:val="20"/>
              </w:rPr>
            </w:pPr>
          </w:p>
        </w:tc>
        <w:tc>
          <w:tcPr>
            <w:tcW w:w="693" w:type="pct"/>
            <w:tcBorders>
              <w:top w:val="single" w:color="auto" w:sz="4" w:space="0"/>
              <w:left w:val="single" w:color="auto" w:sz="4" w:space="0"/>
              <w:bottom w:val="single" w:color="auto" w:sz="4" w:space="0"/>
              <w:right w:val="single" w:color="auto" w:sz="4" w:space="0"/>
            </w:tcBorders>
          </w:tcPr>
          <w:p w:rsidRPr="00E32E7B" w:rsidR="00953ED2" w:rsidP="00306E84" w:rsidRDefault="00953ED2">
            <w:pPr>
              <w:spacing w:after="80" w:line="240" w:lineRule="auto"/>
              <w:jc w:val="center"/>
              <w:rPr>
                <w:rFonts w:ascii="Arial" w:hAnsi="Arial" w:eastAsia="Times New Roman" w:cs="Arial"/>
                <w:color w:val="000000" w:themeColor="text1"/>
                <w:sz w:val="20"/>
                <w:szCs w:val="20"/>
              </w:rPr>
            </w:pPr>
          </w:p>
        </w:tc>
      </w:tr>
      <w:tr w:rsidRPr="00E32E7B" w:rsidR="00953ED2" w:rsidTr="00953ED2">
        <w:trPr>
          <w:trHeight w:val="930"/>
        </w:trPr>
        <w:tc>
          <w:tcPr>
            <w:tcW w:w="344" w:type="pct"/>
            <w:tcBorders>
              <w:top w:val="single" w:color="auto" w:sz="4" w:space="0"/>
              <w:left w:val="single" w:color="auto" w:sz="4" w:space="0"/>
              <w:bottom w:val="single" w:color="auto" w:sz="4" w:space="0"/>
              <w:right w:val="single" w:color="auto" w:sz="4" w:space="0"/>
            </w:tcBorders>
          </w:tcPr>
          <w:p w:rsidR="00953ED2" w:rsidP="00306E84" w:rsidRDefault="00953ED2">
            <w:pPr>
              <w:spacing w:after="80" w:line="240" w:lineRule="auto"/>
              <w:jc w:val="center"/>
              <w:rPr>
                <w:rFonts w:ascii="Arial" w:hAnsi="Arial" w:eastAsia="Times New Roman" w:cs="Arial"/>
                <w:color w:val="000000" w:themeColor="text1"/>
                <w:sz w:val="20"/>
                <w:szCs w:val="20"/>
              </w:rPr>
            </w:pPr>
          </w:p>
          <w:p w:rsidRPr="00E32E7B"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w:t>
            </w:r>
          </w:p>
        </w:tc>
        <w:tc>
          <w:tcPr>
            <w:tcW w:w="1004" w:type="pct"/>
            <w:tcBorders>
              <w:top w:val="single" w:color="auto" w:sz="4" w:space="0"/>
              <w:left w:val="single" w:color="auto" w:sz="4" w:space="0"/>
              <w:bottom w:val="single" w:color="auto" w:sz="4" w:space="0"/>
              <w:right w:val="single" w:color="auto" w:sz="4" w:space="0"/>
            </w:tcBorders>
          </w:tcPr>
          <w:p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 xml:space="preserve">Klavdija Borak, </w:t>
            </w:r>
          </w:p>
          <w:p w:rsidRPr="00E32E7B"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Veliki Lovrečan OIB:93510413046</w:t>
            </w:r>
          </w:p>
        </w:tc>
        <w:tc>
          <w:tcPr>
            <w:tcW w:w="755" w:type="pct"/>
            <w:tcBorders>
              <w:top w:val="single" w:color="auto" w:sz="4" w:space="0"/>
              <w:left w:val="single" w:color="auto" w:sz="4" w:space="0"/>
              <w:bottom w:val="single" w:color="auto" w:sz="4" w:space="0"/>
              <w:right w:val="single" w:color="auto" w:sz="4" w:space="0"/>
            </w:tcBorders>
          </w:tcPr>
          <w:p w:rsidR="00953ED2" w:rsidP="000114EC" w:rsidRDefault="00953ED2">
            <w:pPr>
              <w:spacing w:after="80" w:line="240" w:lineRule="auto"/>
              <w:jc w:val="right"/>
              <w:rPr>
                <w:rFonts w:ascii="Arial" w:hAnsi="Arial" w:eastAsia="Times New Roman" w:cs="Arial"/>
                <w:color w:val="000000" w:themeColor="text1"/>
                <w:sz w:val="20"/>
                <w:szCs w:val="20"/>
              </w:rPr>
            </w:pPr>
          </w:p>
          <w:p w:rsidR="00953ED2" w:rsidP="000114EC" w:rsidRDefault="00953ED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3.333,32</w:t>
            </w:r>
          </w:p>
        </w:tc>
        <w:tc>
          <w:tcPr>
            <w:tcW w:w="755" w:type="pct"/>
            <w:tcBorders>
              <w:top w:val="single" w:color="auto" w:sz="4" w:space="0"/>
              <w:left w:val="single" w:color="auto" w:sz="4" w:space="0"/>
              <w:bottom w:val="single" w:color="auto" w:sz="4" w:space="0"/>
              <w:right w:val="single" w:color="auto" w:sz="4" w:space="0"/>
            </w:tcBorders>
          </w:tcPr>
          <w:p w:rsidR="00953ED2" w:rsidP="007B628C" w:rsidRDefault="00953ED2">
            <w:pPr>
              <w:spacing w:after="80" w:line="240" w:lineRule="auto"/>
              <w:jc w:val="right"/>
              <w:rPr>
                <w:rFonts w:ascii="Arial" w:hAnsi="Arial" w:eastAsia="Times New Roman" w:cs="Arial"/>
                <w:color w:val="000000" w:themeColor="text1"/>
                <w:sz w:val="20"/>
                <w:szCs w:val="20"/>
              </w:rPr>
            </w:pPr>
          </w:p>
          <w:p w:rsidR="00953ED2" w:rsidP="007B628C" w:rsidRDefault="00953ED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3.333,32</w:t>
            </w:r>
          </w:p>
        </w:tc>
        <w:tc>
          <w:tcPr>
            <w:tcW w:w="755" w:type="pct"/>
            <w:tcBorders>
              <w:top w:val="single" w:color="auto" w:sz="4" w:space="0"/>
              <w:left w:val="single" w:color="auto" w:sz="4" w:space="0"/>
              <w:bottom w:val="single" w:color="auto" w:sz="4" w:space="0"/>
              <w:right w:val="single" w:color="auto" w:sz="4" w:space="0"/>
            </w:tcBorders>
          </w:tcPr>
          <w:p w:rsidR="00953ED2" w:rsidP="00306E84" w:rsidRDefault="00953ED2">
            <w:pPr>
              <w:spacing w:after="80" w:line="240" w:lineRule="auto"/>
              <w:jc w:val="center"/>
              <w:rPr>
                <w:rFonts w:ascii="Arial" w:hAnsi="Arial" w:eastAsia="Times New Roman" w:cs="Arial"/>
                <w:color w:val="000000" w:themeColor="text1"/>
                <w:sz w:val="20"/>
                <w:szCs w:val="20"/>
              </w:rPr>
            </w:pPr>
          </w:p>
          <w:p w:rsidR="00953ED2" w:rsidP="00306E84"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0,00</w:t>
            </w:r>
          </w:p>
        </w:tc>
        <w:tc>
          <w:tcPr>
            <w:tcW w:w="694" w:type="pct"/>
            <w:tcBorders>
              <w:top w:val="single" w:color="auto" w:sz="4" w:space="0"/>
              <w:left w:val="single" w:color="auto" w:sz="4" w:space="0"/>
              <w:bottom w:val="single" w:color="auto" w:sz="4" w:space="0"/>
              <w:right w:val="single" w:color="auto" w:sz="4" w:space="0"/>
            </w:tcBorders>
          </w:tcPr>
          <w:p w:rsidRPr="00E32E7B" w:rsidR="00953ED2" w:rsidP="00306E84" w:rsidRDefault="00953ED2">
            <w:pPr>
              <w:spacing w:after="80" w:line="240" w:lineRule="auto"/>
              <w:jc w:val="center"/>
              <w:rPr>
                <w:rFonts w:ascii="Arial" w:hAnsi="Arial" w:eastAsia="Times New Roman" w:cs="Arial"/>
                <w:color w:val="000000" w:themeColor="text1"/>
                <w:sz w:val="20"/>
                <w:szCs w:val="20"/>
              </w:rPr>
            </w:pPr>
          </w:p>
        </w:tc>
        <w:tc>
          <w:tcPr>
            <w:tcW w:w="693" w:type="pct"/>
            <w:tcBorders>
              <w:top w:val="single" w:color="auto" w:sz="4" w:space="0"/>
              <w:left w:val="single" w:color="auto" w:sz="4" w:space="0"/>
              <w:bottom w:val="single" w:color="auto" w:sz="4" w:space="0"/>
              <w:right w:val="single" w:color="auto" w:sz="4" w:space="0"/>
            </w:tcBorders>
          </w:tcPr>
          <w:p w:rsidRPr="00E32E7B" w:rsidR="00953ED2" w:rsidP="00306E84" w:rsidRDefault="00953ED2">
            <w:pPr>
              <w:spacing w:after="80" w:line="240" w:lineRule="auto"/>
              <w:jc w:val="center"/>
              <w:rPr>
                <w:rFonts w:ascii="Arial" w:hAnsi="Arial" w:eastAsia="Times New Roman" w:cs="Arial"/>
                <w:color w:val="000000" w:themeColor="text1"/>
                <w:sz w:val="20"/>
                <w:szCs w:val="20"/>
              </w:rPr>
            </w:pPr>
          </w:p>
        </w:tc>
      </w:tr>
      <w:tr w:rsidRPr="00E32E7B" w:rsidR="00953ED2" w:rsidTr="00953ED2">
        <w:trPr>
          <w:trHeight w:val="930"/>
        </w:trPr>
        <w:tc>
          <w:tcPr>
            <w:tcW w:w="344" w:type="pct"/>
            <w:tcBorders>
              <w:top w:val="single" w:color="auto" w:sz="4" w:space="0"/>
              <w:left w:val="single" w:color="auto" w:sz="4" w:space="0"/>
              <w:bottom w:val="single" w:color="auto" w:sz="4" w:space="0"/>
              <w:right w:val="single" w:color="auto" w:sz="4" w:space="0"/>
            </w:tcBorders>
            <w:hideMark/>
          </w:tcPr>
          <w:p w:rsidR="00953ED2" w:rsidP="00384429" w:rsidRDefault="00953ED2">
            <w:pPr>
              <w:spacing w:after="80" w:line="240" w:lineRule="auto"/>
              <w:jc w:val="center"/>
              <w:rPr>
                <w:rFonts w:ascii="Arial" w:hAnsi="Arial" w:eastAsia="Times New Roman" w:cs="Arial"/>
                <w:color w:val="000000" w:themeColor="text1"/>
                <w:sz w:val="20"/>
                <w:szCs w:val="20"/>
              </w:rPr>
            </w:pPr>
          </w:p>
          <w:p w:rsidRPr="00E32E7B" w:rsidR="00953ED2" w:rsidP="00384429" w:rsidRDefault="00953ED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4</w:t>
            </w:r>
          </w:p>
        </w:tc>
        <w:tc>
          <w:tcPr>
            <w:tcW w:w="1004" w:type="pct"/>
            <w:tcBorders>
              <w:top w:val="single" w:color="auto" w:sz="4" w:space="0"/>
              <w:left w:val="single" w:color="auto" w:sz="4" w:space="0"/>
              <w:bottom w:val="single" w:color="auto" w:sz="4" w:space="0"/>
              <w:right w:val="single" w:color="auto" w:sz="4" w:space="0"/>
            </w:tcBorders>
          </w:tcPr>
          <w:p w:rsidRPr="00E32E7B" w:rsidR="00953ED2" w:rsidP="00384429" w:rsidRDefault="00953ED2">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Republika Hrvatska, Ministarstvo financija</w:t>
            </w:r>
          </w:p>
          <w:p w:rsidRPr="00E32E7B" w:rsidR="00953ED2" w:rsidP="00384429" w:rsidRDefault="00953ED2">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OIB:18683136487</w:t>
            </w:r>
          </w:p>
        </w:tc>
        <w:tc>
          <w:tcPr>
            <w:tcW w:w="755" w:type="pct"/>
            <w:tcBorders>
              <w:top w:val="single" w:color="auto" w:sz="4" w:space="0"/>
              <w:left w:val="single" w:color="auto" w:sz="4" w:space="0"/>
              <w:bottom w:val="single" w:color="auto" w:sz="4" w:space="0"/>
              <w:right w:val="single" w:color="auto" w:sz="4" w:space="0"/>
            </w:tcBorders>
            <w:hideMark/>
          </w:tcPr>
          <w:p w:rsidR="00953ED2" w:rsidP="00384429" w:rsidRDefault="00953ED2">
            <w:pPr>
              <w:spacing w:after="80" w:line="240" w:lineRule="auto"/>
              <w:jc w:val="right"/>
              <w:rPr>
                <w:rFonts w:ascii="Arial" w:hAnsi="Arial" w:eastAsia="Times New Roman" w:cs="Arial"/>
                <w:color w:val="000000" w:themeColor="text1"/>
                <w:sz w:val="20"/>
                <w:szCs w:val="20"/>
              </w:rPr>
            </w:pPr>
          </w:p>
          <w:p w:rsidRPr="00E32E7B" w:rsidR="00953ED2" w:rsidP="00384429" w:rsidRDefault="00953ED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10.344,84</w:t>
            </w:r>
          </w:p>
          <w:p w:rsidRPr="00E32E7B" w:rsidR="00953ED2" w:rsidP="00384429" w:rsidRDefault="00953ED2">
            <w:pPr>
              <w:spacing w:after="80" w:line="240" w:lineRule="auto"/>
              <w:jc w:val="right"/>
              <w:rPr>
                <w:rFonts w:ascii="Arial" w:hAnsi="Arial" w:eastAsia="Times New Roman" w:cs="Arial"/>
                <w:color w:val="000000" w:themeColor="text1"/>
                <w:sz w:val="20"/>
                <w:szCs w:val="20"/>
              </w:rPr>
            </w:pPr>
          </w:p>
        </w:tc>
        <w:tc>
          <w:tcPr>
            <w:tcW w:w="755" w:type="pct"/>
            <w:tcBorders>
              <w:top w:val="single" w:color="auto" w:sz="4" w:space="0"/>
              <w:left w:val="single" w:color="auto" w:sz="4" w:space="0"/>
              <w:bottom w:val="single" w:color="auto" w:sz="4" w:space="0"/>
              <w:right w:val="single" w:color="auto" w:sz="4" w:space="0"/>
            </w:tcBorders>
            <w:hideMark/>
          </w:tcPr>
          <w:p w:rsidR="00953ED2" w:rsidP="00384429" w:rsidRDefault="00953ED2">
            <w:pPr>
              <w:spacing w:after="80" w:line="240" w:lineRule="auto"/>
              <w:jc w:val="right"/>
              <w:rPr>
                <w:rFonts w:ascii="Arial" w:hAnsi="Arial" w:eastAsia="Times New Roman" w:cs="Arial"/>
                <w:color w:val="000000" w:themeColor="text1"/>
                <w:sz w:val="20"/>
                <w:szCs w:val="20"/>
              </w:rPr>
            </w:pPr>
          </w:p>
          <w:p w:rsidRPr="00E32E7B" w:rsidR="00953ED2" w:rsidP="00384429" w:rsidRDefault="00953ED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10.344,84</w:t>
            </w:r>
          </w:p>
          <w:p w:rsidRPr="00E32E7B" w:rsidR="00953ED2" w:rsidP="00384429" w:rsidRDefault="00953ED2">
            <w:pPr>
              <w:spacing w:after="80" w:line="240" w:lineRule="auto"/>
              <w:jc w:val="right"/>
              <w:rPr>
                <w:rFonts w:ascii="Arial" w:hAnsi="Arial" w:eastAsia="Times New Roman" w:cs="Arial"/>
                <w:color w:val="000000" w:themeColor="text1"/>
                <w:sz w:val="20"/>
                <w:szCs w:val="20"/>
              </w:rPr>
            </w:pPr>
          </w:p>
        </w:tc>
        <w:tc>
          <w:tcPr>
            <w:tcW w:w="755" w:type="pct"/>
            <w:tcBorders>
              <w:top w:val="single" w:color="auto" w:sz="4" w:space="0"/>
              <w:left w:val="single" w:color="auto" w:sz="4" w:space="0"/>
              <w:bottom w:val="single" w:color="auto" w:sz="4" w:space="0"/>
              <w:right w:val="single" w:color="auto" w:sz="4" w:space="0"/>
            </w:tcBorders>
            <w:hideMark/>
          </w:tcPr>
          <w:p w:rsidR="00953ED2" w:rsidP="00384429" w:rsidRDefault="00953ED2">
            <w:pPr>
              <w:spacing w:after="80" w:line="240" w:lineRule="auto"/>
              <w:jc w:val="center"/>
              <w:rPr>
                <w:rFonts w:ascii="Arial" w:hAnsi="Arial" w:eastAsia="Times New Roman" w:cs="Arial"/>
                <w:color w:val="000000" w:themeColor="text1"/>
                <w:sz w:val="20"/>
                <w:szCs w:val="20"/>
              </w:rPr>
            </w:pPr>
          </w:p>
          <w:p w:rsidRPr="00E32E7B" w:rsidR="00953ED2" w:rsidP="00384429" w:rsidRDefault="00953ED2">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694" w:type="pct"/>
            <w:tcBorders>
              <w:top w:val="single" w:color="auto" w:sz="4" w:space="0"/>
              <w:left w:val="single" w:color="auto" w:sz="4" w:space="0"/>
              <w:bottom w:val="single" w:color="auto" w:sz="4" w:space="0"/>
              <w:right w:val="single" w:color="auto" w:sz="4" w:space="0"/>
            </w:tcBorders>
          </w:tcPr>
          <w:p w:rsidRPr="00E32E7B" w:rsidR="00953ED2" w:rsidP="00384429" w:rsidRDefault="00953ED2">
            <w:pPr>
              <w:spacing w:after="80" w:line="240" w:lineRule="auto"/>
              <w:jc w:val="center"/>
              <w:rPr>
                <w:rFonts w:ascii="Arial" w:hAnsi="Arial" w:eastAsia="Times New Roman" w:cs="Arial"/>
                <w:color w:val="000000" w:themeColor="text1"/>
                <w:sz w:val="20"/>
                <w:szCs w:val="20"/>
              </w:rPr>
            </w:pPr>
          </w:p>
        </w:tc>
        <w:tc>
          <w:tcPr>
            <w:tcW w:w="693" w:type="pct"/>
            <w:tcBorders>
              <w:top w:val="single" w:color="auto" w:sz="4" w:space="0"/>
              <w:left w:val="single" w:color="auto" w:sz="4" w:space="0"/>
              <w:bottom w:val="single" w:color="auto" w:sz="4" w:space="0"/>
              <w:right w:val="single" w:color="auto" w:sz="4" w:space="0"/>
            </w:tcBorders>
          </w:tcPr>
          <w:p w:rsidRPr="00E32E7B" w:rsidR="00953ED2" w:rsidP="00384429" w:rsidRDefault="00953ED2">
            <w:pPr>
              <w:spacing w:after="80" w:line="240" w:lineRule="auto"/>
              <w:jc w:val="center"/>
              <w:rPr>
                <w:rFonts w:ascii="Arial" w:hAnsi="Arial" w:eastAsia="Times New Roman" w:cs="Arial"/>
                <w:color w:val="000000" w:themeColor="text1"/>
                <w:sz w:val="20"/>
                <w:szCs w:val="20"/>
              </w:rPr>
            </w:pPr>
          </w:p>
        </w:tc>
      </w:tr>
      <w:tr w:rsidRPr="003145A5" w:rsidR="003145A5" w:rsidTr="00953ED2">
        <w:trPr>
          <w:trHeight w:val="930"/>
        </w:trPr>
        <w:tc>
          <w:tcPr>
            <w:tcW w:w="1348"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145A5" w:rsidR="00953ED2" w:rsidP="00306E84" w:rsidRDefault="00953ED2">
            <w:pPr>
              <w:spacing w:after="80" w:line="240" w:lineRule="auto"/>
              <w:jc w:val="center"/>
              <w:rPr>
                <w:rFonts w:ascii="Arial" w:hAnsi="Arial" w:eastAsia="Times New Roman" w:cs="Arial"/>
                <w:sz w:val="20"/>
                <w:szCs w:val="20"/>
              </w:rPr>
            </w:pPr>
          </w:p>
          <w:p w:rsidRPr="003145A5" w:rsidR="00953ED2" w:rsidP="00306E84" w:rsidRDefault="00953ED2">
            <w:pPr>
              <w:spacing w:after="80" w:line="240" w:lineRule="auto"/>
              <w:jc w:val="center"/>
              <w:rPr>
                <w:rFonts w:ascii="Arial" w:hAnsi="Arial" w:eastAsia="Times New Roman" w:cs="Arial"/>
                <w:sz w:val="20"/>
                <w:szCs w:val="20"/>
              </w:rPr>
            </w:pPr>
            <w:r w:rsidRPr="003145A5">
              <w:rPr>
                <w:rFonts w:ascii="Arial" w:hAnsi="Arial" w:eastAsia="Times New Roman" w:cs="Arial"/>
                <w:sz w:val="20"/>
                <w:szCs w:val="20"/>
              </w:rPr>
              <w:t>UKUPNO</w:t>
            </w:r>
          </w:p>
        </w:tc>
        <w:tc>
          <w:tcPr>
            <w:tcW w:w="755"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145A5" w:rsidR="00953ED2" w:rsidP="000114EC" w:rsidRDefault="00953ED2">
            <w:pPr>
              <w:spacing w:after="80" w:line="240" w:lineRule="auto"/>
              <w:jc w:val="right"/>
              <w:rPr>
                <w:rFonts w:ascii="Arial" w:hAnsi="Arial" w:eastAsia="Times New Roman" w:cs="Arial"/>
                <w:sz w:val="20"/>
                <w:szCs w:val="20"/>
              </w:rPr>
            </w:pPr>
          </w:p>
          <w:p w:rsidRPr="003145A5" w:rsidR="00953ED2" w:rsidP="000114EC" w:rsidRDefault="00953ED2">
            <w:pPr>
              <w:spacing w:after="80" w:line="240" w:lineRule="auto"/>
              <w:jc w:val="right"/>
              <w:rPr>
                <w:rFonts w:ascii="Arial" w:hAnsi="Arial" w:eastAsia="Times New Roman" w:cs="Arial"/>
                <w:sz w:val="20"/>
                <w:szCs w:val="20"/>
              </w:rPr>
            </w:pPr>
            <w:r w:rsidRPr="003145A5">
              <w:rPr>
                <w:rFonts w:ascii="Arial" w:hAnsi="Arial" w:eastAsia="Times New Roman" w:cs="Arial"/>
                <w:sz w:val="20"/>
                <w:szCs w:val="20"/>
              </w:rPr>
              <w:fldChar w:fldCharType="begin"/>
            </w:r>
            <w:r w:rsidRPr="003145A5">
              <w:rPr>
                <w:rFonts w:ascii="Arial" w:hAnsi="Arial" w:eastAsia="Times New Roman" w:cs="Arial"/>
                <w:sz w:val="20"/>
                <w:szCs w:val="20"/>
              </w:rPr>
              <w:instrText xml:space="preserve"> =SUM(ABOVE) </w:instrText>
            </w:r>
            <w:r w:rsidRPr="003145A5">
              <w:rPr>
                <w:rFonts w:ascii="Arial" w:hAnsi="Arial" w:eastAsia="Times New Roman" w:cs="Arial"/>
                <w:sz w:val="20"/>
                <w:szCs w:val="20"/>
              </w:rPr>
              <w:fldChar w:fldCharType="separate"/>
            </w:r>
            <w:r w:rsidRPr="003145A5">
              <w:rPr>
                <w:rFonts w:ascii="Arial" w:hAnsi="Arial" w:eastAsia="Times New Roman" w:cs="Arial"/>
                <w:noProof/>
                <w:sz w:val="20"/>
                <w:szCs w:val="20"/>
              </w:rPr>
              <w:t>21.144,18</w:t>
            </w:r>
            <w:r w:rsidRPr="003145A5">
              <w:rPr>
                <w:rFonts w:ascii="Arial" w:hAnsi="Arial" w:eastAsia="Times New Roman" w:cs="Arial"/>
                <w:sz w:val="20"/>
                <w:szCs w:val="20"/>
              </w:rPr>
              <w:fldChar w:fldCharType="end"/>
            </w:r>
          </w:p>
        </w:tc>
        <w:tc>
          <w:tcPr>
            <w:tcW w:w="755"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145A5" w:rsidR="00953ED2" w:rsidP="000114EC" w:rsidRDefault="00953ED2">
            <w:pPr>
              <w:spacing w:after="80" w:line="240" w:lineRule="auto"/>
              <w:jc w:val="right"/>
              <w:rPr>
                <w:rFonts w:ascii="Arial" w:hAnsi="Arial" w:eastAsia="Times New Roman" w:cs="Arial"/>
                <w:sz w:val="20"/>
                <w:szCs w:val="20"/>
              </w:rPr>
            </w:pPr>
          </w:p>
          <w:p w:rsidRPr="003145A5" w:rsidR="00953ED2" w:rsidP="000114EC" w:rsidRDefault="00953ED2">
            <w:pPr>
              <w:spacing w:after="80" w:line="240" w:lineRule="auto"/>
              <w:jc w:val="right"/>
              <w:rPr>
                <w:rFonts w:ascii="Arial" w:hAnsi="Arial" w:eastAsia="Times New Roman" w:cs="Arial"/>
                <w:sz w:val="20"/>
                <w:szCs w:val="20"/>
              </w:rPr>
            </w:pPr>
            <w:r w:rsidRPr="003145A5">
              <w:rPr>
                <w:rFonts w:ascii="Arial" w:hAnsi="Arial" w:eastAsia="Times New Roman" w:cs="Arial"/>
                <w:sz w:val="20"/>
                <w:szCs w:val="20"/>
              </w:rPr>
              <w:fldChar w:fldCharType="begin"/>
            </w:r>
            <w:r w:rsidRPr="003145A5">
              <w:rPr>
                <w:rFonts w:ascii="Arial" w:hAnsi="Arial" w:eastAsia="Times New Roman" w:cs="Arial"/>
                <w:sz w:val="20"/>
                <w:szCs w:val="20"/>
              </w:rPr>
              <w:instrText xml:space="preserve"> =SUM(ABOVE) </w:instrText>
            </w:r>
            <w:r w:rsidRPr="003145A5">
              <w:rPr>
                <w:rFonts w:ascii="Arial" w:hAnsi="Arial" w:eastAsia="Times New Roman" w:cs="Arial"/>
                <w:sz w:val="20"/>
                <w:szCs w:val="20"/>
              </w:rPr>
              <w:fldChar w:fldCharType="separate"/>
            </w:r>
            <w:r w:rsidRPr="003145A5">
              <w:rPr>
                <w:rFonts w:ascii="Arial" w:hAnsi="Arial" w:eastAsia="Times New Roman" w:cs="Arial"/>
                <w:noProof/>
                <w:sz w:val="20"/>
                <w:szCs w:val="20"/>
              </w:rPr>
              <w:t>21.144,18</w:t>
            </w:r>
            <w:r w:rsidRPr="003145A5">
              <w:rPr>
                <w:rFonts w:ascii="Arial" w:hAnsi="Arial" w:eastAsia="Times New Roman" w:cs="Arial"/>
                <w:sz w:val="20"/>
                <w:szCs w:val="20"/>
              </w:rPr>
              <w:fldChar w:fldCharType="end"/>
            </w:r>
          </w:p>
        </w:tc>
        <w:tc>
          <w:tcPr>
            <w:tcW w:w="755"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145A5" w:rsidR="00953ED2" w:rsidP="00306E84" w:rsidRDefault="00953ED2">
            <w:pPr>
              <w:spacing w:after="80" w:line="240" w:lineRule="auto"/>
              <w:jc w:val="center"/>
              <w:rPr>
                <w:rFonts w:ascii="Arial" w:hAnsi="Arial" w:eastAsia="Times New Roman" w:cs="Arial"/>
                <w:sz w:val="20"/>
                <w:szCs w:val="20"/>
              </w:rPr>
            </w:pPr>
          </w:p>
          <w:p w:rsidRPr="003145A5" w:rsidR="00953ED2" w:rsidP="00306E84" w:rsidRDefault="00953ED2">
            <w:pPr>
              <w:spacing w:after="80" w:line="240" w:lineRule="auto"/>
              <w:jc w:val="center"/>
              <w:rPr>
                <w:rFonts w:ascii="Arial" w:hAnsi="Arial" w:eastAsia="Times New Roman" w:cs="Arial"/>
                <w:sz w:val="20"/>
                <w:szCs w:val="20"/>
              </w:rPr>
            </w:pPr>
            <w:r w:rsidRPr="003145A5">
              <w:rPr>
                <w:rFonts w:ascii="Arial" w:hAnsi="Arial" w:eastAsia="Times New Roman" w:cs="Arial"/>
                <w:sz w:val="20"/>
                <w:szCs w:val="20"/>
              </w:rPr>
              <w:t>0,00</w:t>
            </w:r>
          </w:p>
        </w:tc>
        <w:tc>
          <w:tcPr>
            <w:tcW w:w="694"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145A5" w:rsidR="00953ED2" w:rsidP="00306E84" w:rsidRDefault="00953ED2">
            <w:pPr>
              <w:spacing w:after="80" w:line="240" w:lineRule="auto"/>
              <w:jc w:val="center"/>
              <w:rPr>
                <w:rFonts w:ascii="Arial" w:hAnsi="Arial" w:eastAsia="Times New Roman" w:cs="Arial"/>
                <w:sz w:val="20"/>
                <w:szCs w:val="20"/>
              </w:rPr>
            </w:pPr>
          </w:p>
        </w:tc>
        <w:tc>
          <w:tcPr>
            <w:tcW w:w="693"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145A5" w:rsidR="00953ED2" w:rsidP="00306E84" w:rsidRDefault="00953ED2">
            <w:pPr>
              <w:spacing w:after="80" w:line="240" w:lineRule="auto"/>
              <w:jc w:val="center"/>
              <w:rPr>
                <w:rFonts w:ascii="Arial" w:hAnsi="Arial" w:eastAsia="Times New Roman" w:cs="Arial"/>
                <w:sz w:val="20"/>
                <w:szCs w:val="20"/>
              </w:rPr>
            </w:pPr>
          </w:p>
        </w:tc>
      </w:tr>
    </w:tbl>
    <w:p w:rsidRPr="003145A5" w:rsidR="00CB4F1A" w:rsidP="00EE512D" w:rsidRDefault="00CB4F1A">
      <w:pPr>
        <w:spacing w:after="0" w:line="240" w:lineRule="auto"/>
        <w:ind w:left="1080"/>
        <w:rPr>
          <w:rFonts w:ascii="Arial" w:hAnsi="Arial" w:eastAsia="Times New Roman" w:cs="Arial"/>
          <w:b/>
          <w:bCs/>
          <w:sz w:val="24"/>
          <w:szCs w:val="24"/>
        </w:rPr>
      </w:pPr>
    </w:p>
    <w:p w:rsidRPr="003145A5" w:rsidR="00EE512D" w:rsidP="00EE512D" w:rsidRDefault="00EE512D">
      <w:pPr>
        <w:spacing w:after="0" w:line="240" w:lineRule="auto"/>
        <w:rPr>
          <w:rFonts w:ascii="Arial" w:hAnsi="Arial" w:eastAsia="Times New Roman" w:cs="Arial"/>
          <w:vanish/>
        </w:rPr>
      </w:pPr>
    </w:p>
    <w:p w:rsidRPr="003145A5" w:rsidR="0085216E" w:rsidP="0085216E" w:rsidRDefault="00B10E42">
      <w:pPr>
        <w:spacing w:after="0" w:line="240" w:lineRule="auto"/>
        <w:ind w:firstLine="720"/>
        <w:jc w:val="both"/>
        <w:rPr>
          <w:rFonts w:ascii="Arial" w:hAnsi="Arial" w:eastAsia="Times New Roman" w:cs="Arial"/>
          <w:sz w:val="24"/>
          <w:szCs w:val="24"/>
          <w:lang w:eastAsia="hr-HR"/>
        </w:rPr>
      </w:pPr>
      <w:r w:rsidRPr="003145A5">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3145A5" w:rsidR="0085216E">
        <w:rPr>
          <w:rFonts w:ascii="Arial" w:hAnsi="Arial" w:eastAsia="Times New Roman" w:cs="Arial"/>
          <w:sz w:val="24"/>
          <w:szCs w:val="24"/>
          <w:lang w:eastAsia="hr-HR"/>
        </w:rPr>
        <w:t>.</w:t>
      </w:r>
    </w:p>
    <w:p w:rsidRPr="003145A5" w:rsidR="00E94E2D" w:rsidP="0085216E" w:rsidRDefault="00E94E2D">
      <w:pPr>
        <w:spacing w:after="0" w:line="240" w:lineRule="auto"/>
        <w:ind w:firstLine="720"/>
        <w:jc w:val="both"/>
        <w:rPr>
          <w:rFonts w:ascii="Arial" w:hAnsi="Arial" w:eastAsia="Times New Roman" w:cs="Arial"/>
          <w:sz w:val="24"/>
          <w:szCs w:val="24"/>
          <w:lang w:eastAsia="hr-HR"/>
        </w:rPr>
      </w:pPr>
    </w:p>
    <w:p w:rsidRPr="003145A5" w:rsidR="0085216E" w:rsidP="0085216E" w:rsidRDefault="0085216E">
      <w:pPr>
        <w:spacing w:after="0" w:line="240" w:lineRule="auto"/>
        <w:ind w:firstLine="720"/>
        <w:jc w:val="both"/>
        <w:rPr>
          <w:rFonts w:ascii="Arial" w:hAnsi="Arial" w:eastAsia="Times New Roman" w:cs="Arial"/>
          <w:sz w:val="24"/>
          <w:szCs w:val="24"/>
          <w:lang w:eastAsia="hr-HR"/>
        </w:rPr>
      </w:pPr>
      <w:r w:rsidRPr="003145A5">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3145A5">
        <w:rPr>
          <w:rFonts w:ascii="Arial" w:hAnsi="Arial" w:eastAsia="Times New Roman" w:cs="Arial"/>
          <w:sz w:val="24"/>
          <w:szCs w:val="24"/>
          <w:lang w:eastAsia="hr-HR"/>
        </w:rPr>
        <w:t xml:space="preserve">se utvrđenima u iznosu od </w:t>
      </w:r>
      <w:r w:rsidRPr="003145A5" w:rsidR="0007479D">
        <w:rPr>
          <w:rFonts w:ascii="Arial" w:hAnsi="Arial" w:eastAsia="Times New Roman" w:cs="Arial"/>
          <w:sz w:val="24"/>
          <w:szCs w:val="24"/>
        </w:rPr>
        <w:t>21.144,18</w:t>
      </w:r>
      <w:r w:rsidRPr="003145A5" w:rsidR="007B628C">
        <w:rPr>
          <w:rFonts w:ascii="Arial" w:hAnsi="Arial" w:eastAsia="Times New Roman" w:cs="Arial"/>
          <w:sz w:val="24"/>
          <w:szCs w:val="24"/>
        </w:rPr>
        <w:t xml:space="preserve"> </w:t>
      </w:r>
      <w:r w:rsidRPr="003145A5">
        <w:rPr>
          <w:rFonts w:ascii="Arial" w:hAnsi="Arial" w:eastAsia="Times New Roman" w:cs="Arial"/>
          <w:sz w:val="24"/>
          <w:szCs w:val="24"/>
          <w:lang w:eastAsia="hr-HR"/>
        </w:rPr>
        <w:t xml:space="preserve">kn, te će se sačiniti posebna tablica i </w:t>
      </w:r>
      <w:r w:rsidRPr="00E32E7B">
        <w:rPr>
          <w:rFonts w:ascii="Arial" w:hAnsi="Arial" w:eastAsia="Times New Roman" w:cs="Arial"/>
          <w:color w:val="000000" w:themeColor="text1"/>
          <w:sz w:val="24"/>
          <w:szCs w:val="24"/>
          <w:lang w:eastAsia="hr-HR"/>
        </w:rPr>
        <w:t xml:space="preserve">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p w:rsidRPr="00E32E7B" w:rsidR="00306E84" w:rsidP="00306E84" w:rsidRDefault="00306E84">
      <w:pPr>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E32E7B" w:rsidR="00923264" w:rsidTr="00366BE7">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 xml:space="preserve">Red. </w:t>
            </w:r>
            <w:r w:rsidRPr="00E32E7B" w:rsidR="007B628C">
              <w:rPr>
                <w:rFonts w:ascii="Arial" w:hAnsi="Arial" w:cs="Arial"/>
                <w:sz w:val="20"/>
                <w:szCs w:val="20"/>
              </w:rPr>
              <w:t>B</w:t>
            </w:r>
            <w:r w:rsidRPr="00E32E7B">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priznate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osporene tražbine</w:t>
            </w: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306E84" w:rsidRDefault="00306E84">
            <w:pPr>
              <w:spacing w:after="0" w:line="240" w:lineRule="auto"/>
              <w:rPr>
                <w:rFonts w:ascii="Arial" w:hAnsi="Arial" w:cs="Arial"/>
                <w:sz w:val="20"/>
                <w:szCs w:val="20"/>
              </w:rPr>
            </w:pP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Napomena</w:t>
            </w:r>
          </w:p>
        </w:tc>
      </w:tr>
      <w:tr w:rsidRPr="00E32E7B" w:rsidR="000065B4" w:rsidTr="00BA38AE">
        <w:trPr>
          <w:trHeight w:val="850"/>
        </w:trPr>
        <w:tc>
          <w:tcPr>
            <w:tcW w:w="356" w:type="pct"/>
            <w:tcBorders>
              <w:top w:val="single" w:color="auto" w:sz="4" w:space="0"/>
              <w:left w:val="single" w:color="auto" w:sz="4" w:space="0"/>
              <w:bottom w:val="single" w:color="auto" w:sz="4" w:space="0"/>
              <w:right w:val="single" w:color="auto" w:sz="4" w:space="0"/>
            </w:tcBorders>
            <w:vAlign w:val="center"/>
          </w:tcPr>
          <w:p w:rsidRPr="00E32E7B" w:rsidR="007B628C" w:rsidP="00306E84" w:rsidRDefault="007B628C">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1</w:t>
            </w:r>
          </w:p>
        </w:tc>
        <w:tc>
          <w:tcPr>
            <w:tcW w:w="1153" w:type="pct"/>
            <w:tcBorders>
              <w:top w:val="single" w:color="auto" w:sz="4" w:space="0"/>
              <w:left w:val="single" w:color="auto" w:sz="4" w:space="0"/>
              <w:bottom w:val="single" w:color="auto" w:sz="4" w:space="0"/>
              <w:right w:val="single" w:color="auto" w:sz="4" w:space="0"/>
            </w:tcBorders>
            <w:vAlign w:val="center"/>
          </w:tcPr>
          <w:p w:rsidR="0007479D" w:rsidP="00306E84" w:rsidRDefault="0007479D">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Hrvatsko društvo skladatelja, Zagreb</w:t>
            </w:r>
          </w:p>
          <w:p w:rsidRPr="00E32E7B" w:rsidR="007B628C" w:rsidP="0007479D" w:rsidRDefault="0007479D">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OIB:</w:t>
            </w:r>
            <w:r w:rsidRPr="0007479D">
              <w:rPr>
                <w:rFonts w:ascii="Arial" w:hAnsi="Arial" w:cs="Arial"/>
                <w:color w:val="000000" w:themeColor="text1"/>
                <w:sz w:val="20"/>
                <w:szCs w:val="20"/>
              </w:rPr>
              <w:t>56668956985</w:t>
            </w:r>
            <w:r w:rsidRPr="00E32E7B" w:rsidR="007B628C">
              <w:rPr>
                <w:rFonts w:ascii="Arial" w:hAnsi="Arial" w:cs="Arial"/>
                <w:color w:val="000000" w:themeColor="text1"/>
                <w:sz w:val="20"/>
                <w:szCs w:val="20"/>
              </w:rPr>
              <w:t xml:space="preserve"> </w:t>
            </w:r>
          </w:p>
        </w:tc>
        <w:tc>
          <w:tcPr>
            <w:tcW w:w="890" w:type="pct"/>
            <w:tcBorders>
              <w:top w:val="single" w:color="auto" w:sz="4" w:space="0"/>
              <w:left w:val="single" w:color="auto" w:sz="4" w:space="0"/>
              <w:bottom w:val="single" w:color="auto" w:sz="4" w:space="0"/>
              <w:right w:val="single" w:color="auto" w:sz="4" w:space="0"/>
            </w:tcBorders>
            <w:vAlign w:val="center"/>
          </w:tcPr>
          <w:p w:rsidRPr="00E32E7B" w:rsidR="007B628C" w:rsidP="000476C7" w:rsidRDefault="0007479D">
            <w:pPr>
              <w:spacing w:after="0" w:line="240" w:lineRule="auto"/>
              <w:jc w:val="right"/>
              <w:rPr>
                <w:rFonts w:ascii="Arial" w:hAnsi="Arial" w:cs="Arial"/>
                <w:color w:val="000000" w:themeColor="text1"/>
                <w:sz w:val="20"/>
                <w:szCs w:val="20"/>
              </w:rPr>
            </w:pPr>
            <w:r w:rsidRPr="0007479D">
              <w:rPr>
                <w:rFonts w:ascii="Arial" w:hAnsi="Arial" w:cs="Arial"/>
                <w:color w:val="000000" w:themeColor="text1"/>
                <w:sz w:val="20"/>
                <w:szCs w:val="20"/>
              </w:rPr>
              <w:t>1.427,58</w:t>
            </w:r>
          </w:p>
        </w:tc>
        <w:tc>
          <w:tcPr>
            <w:tcW w:w="890" w:type="pct"/>
            <w:tcBorders>
              <w:top w:val="single" w:color="auto" w:sz="4" w:space="0"/>
              <w:left w:val="single" w:color="auto" w:sz="4" w:space="0"/>
              <w:bottom w:val="single" w:color="auto" w:sz="4" w:space="0"/>
              <w:right w:val="single" w:color="auto" w:sz="4" w:space="0"/>
            </w:tcBorders>
            <w:vAlign w:val="center"/>
          </w:tcPr>
          <w:p w:rsidRPr="00E32E7B" w:rsidR="007B628C" w:rsidP="000476C7" w:rsidRDefault="0007479D">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1.427,58</w:t>
            </w:r>
          </w:p>
        </w:tc>
        <w:tc>
          <w:tcPr>
            <w:tcW w:w="890" w:type="pct"/>
            <w:tcBorders>
              <w:top w:val="single" w:color="auto" w:sz="4" w:space="0"/>
              <w:left w:val="single" w:color="auto" w:sz="4" w:space="0"/>
              <w:bottom w:val="single" w:color="auto" w:sz="4" w:space="0"/>
              <w:right w:val="single" w:color="auto" w:sz="4" w:space="0"/>
            </w:tcBorders>
            <w:vAlign w:val="center"/>
          </w:tcPr>
          <w:p w:rsidRPr="00E32E7B" w:rsidR="007B628C" w:rsidP="00306E84" w:rsidRDefault="007B628C">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7B628C" w:rsidP="00306E84" w:rsidRDefault="007B628C">
            <w:pPr>
              <w:spacing w:after="0" w:line="240" w:lineRule="auto"/>
              <w:rPr>
                <w:rFonts w:ascii="Arial" w:hAnsi="Arial" w:cs="Arial"/>
                <w:color w:val="000000" w:themeColor="text1"/>
                <w:sz w:val="20"/>
                <w:szCs w:val="20"/>
              </w:rPr>
            </w:pPr>
          </w:p>
        </w:tc>
      </w:tr>
      <w:tr w:rsidRPr="00E32E7B" w:rsidR="000065B4" w:rsidTr="00BA38AE">
        <w:trPr>
          <w:trHeight w:val="850"/>
        </w:trPr>
        <w:tc>
          <w:tcPr>
            <w:tcW w:w="356" w:type="pct"/>
            <w:tcBorders>
              <w:top w:val="single" w:color="auto" w:sz="4" w:space="0"/>
              <w:left w:val="single" w:color="auto" w:sz="4" w:space="0"/>
              <w:bottom w:val="single" w:color="auto" w:sz="4" w:space="0"/>
              <w:right w:val="single" w:color="auto" w:sz="4" w:space="0"/>
            </w:tcBorders>
          </w:tcPr>
          <w:p w:rsidR="00306E84" w:rsidP="00306E84" w:rsidRDefault="00306E84">
            <w:pPr>
              <w:spacing w:after="0" w:line="240" w:lineRule="auto"/>
              <w:jc w:val="center"/>
              <w:rPr>
                <w:rFonts w:ascii="Arial" w:hAnsi="Arial" w:cs="Arial"/>
                <w:color w:val="000000" w:themeColor="text1"/>
                <w:sz w:val="20"/>
                <w:szCs w:val="20"/>
              </w:rPr>
            </w:pPr>
          </w:p>
          <w:p w:rsidRPr="00E32E7B" w:rsidR="0007479D" w:rsidP="00306E84" w:rsidRDefault="0007479D">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153" w:type="pct"/>
            <w:tcBorders>
              <w:top w:val="single" w:color="auto" w:sz="4" w:space="0"/>
              <w:left w:val="single" w:color="auto" w:sz="4" w:space="0"/>
              <w:bottom w:val="single" w:color="auto" w:sz="4" w:space="0"/>
              <w:right w:val="single" w:color="auto" w:sz="4" w:space="0"/>
            </w:tcBorders>
          </w:tcPr>
          <w:p w:rsidRPr="00E32E7B" w:rsidR="00306E84" w:rsidP="00306E84" w:rsidRDefault="0007479D">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Podravska banka d.d., Koprivnica OIB:</w:t>
            </w:r>
            <w:r w:rsidRPr="0007479D">
              <w:rPr>
                <w:rFonts w:ascii="Arial" w:hAnsi="Arial" w:cs="Arial"/>
                <w:color w:val="000000" w:themeColor="text1"/>
                <w:sz w:val="20"/>
                <w:szCs w:val="20"/>
              </w:rPr>
              <w:t>97326283154</w:t>
            </w:r>
          </w:p>
        </w:tc>
        <w:tc>
          <w:tcPr>
            <w:tcW w:w="890" w:type="pct"/>
            <w:tcBorders>
              <w:top w:val="single" w:color="auto" w:sz="4" w:space="0"/>
              <w:left w:val="single" w:color="auto" w:sz="4" w:space="0"/>
              <w:bottom w:val="single" w:color="auto" w:sz="4" w:space="0"/>
              <w:right w:val="single" w:color="auto" w:sz="4" w:space="0"/>
            </w:tcBorders>
          </w:tcPr>
          <w:p w:rsidR="00CD3560" w:rsidP="000476C7" w:rsidRDefault="00CD3560">
            <w:pPr>
              <w:spacing w:after="0" w:line="240" w:lineRule="auto"/>
              <w:jc w:val="right"/>
              <w:rPr>
                <w:rFonts w:ascii="Arial" w:hAnsi="Arial" w:cs="Arial"/>
                <w:color w:val="000000" w:themeColor="text1"/>
                <w:sz w:val="20"/>
                <w:szCs w:val="20"/>
              </w:rPr>
            </w:pPr>
          </w:p>
          <w:p w:rsidRPr="00E32E7B" w:rsidR="00306E84" w:rsidP="000476C7" w:rsidRDefault="0007479D">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826,71</w:t>
            </w:r>
          </w:p>
        </w:tc>
        <w:tc>
          <w:tcPr>
            <w:tcW w:w="890" w:type="pct"/>
            <w:tcBorders>
              <w:top w:val="single" w:color="auto" w:sz="4" w:space="0"/>
              <w:left w:val="single" w:color="auto" w:sz="4" w:space="0"/>
              <w:bottom w:val="single" w:color="auto" w:sz="4" w:space="0"/>
              <w:right w:val="single" w:color="auto" w:sz="4" w:space="0"/>
            </w:tcBorders>
          </w:tcPr>
          <w:p w:rsidR="00CD3560" w:rsidP="000476C7" w:rsidRDefault="00CD3560">
            <w:pPr>
              <w:spacing w:after="0" w:line="240" w:lineRule="auto"/>
              <w:jc w:val="right"/>
              <w:rPr>
                <w:rFonts w:ascii="Arial" w:hAnsi="Arial" w:cs="Arial"/>
                <w:color w:val="000000" w:themeColor="text1"/>
                <w:sz w:val="20"/>
                <w:szCs w:val="20"/>
              </w:rPr>
            </w:pPr>
          </w:p>
          <w:p w:rsidRPr="00E32E7B" w:rsidR="00306E84" w:rsidP="000476C7" w:rsidRDefault="0007479D">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826,71</w:t>
            </w:r>
          </w:p>
        </w:tc>
        <w:tc>
          <w:tcPr>
            <w:tcW w:w="890" w:type="pct"/>
            <w:tcBorders>
              <w:top w:val="single" w:color="auto" w:sz="4" w:space="0"/>
              <w:left w:val="single" w:color="auto" w:sz="4" w:space="0"/>
              <w:bottom w:val="single" w:color="auto" w:sz="4" w:space="0"/>
              <w:right w:val="single" w:color="auto" w:sz="4" w:space="0"/>
            </w:tcBorders>
          </w:tcPr>
          <w:p w:rsidR="00CD3560" w:rsidP="00306E84" w:rsidRDefault="00CD3560">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rPr>
                <w:rFonts w:ascii="Arial" w:hAnsi="Arial" w:cs="Arial"/>
                <w:color w:val="000000" w:themeColor="text1"/>
                <w:sz w:val="20"/>
                <w:szCs w:val="20"/>
              </w:rPr>
            </w:pPr>
          </w:p>
        </w:tc>
      </w:tr>
      <w:tr w:rsidRPr="00E32E7B" w:rsidR="000065B4" w:rsidTr="00BA38AE">
        <w:trPr>
          <w:trHeight w:val="850"/>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UKUPNO</w:t>
            </w:r>
          </w:p>
          <w:p w:rsidRPr="00E32E7B" w:rsidR="00F053EC" w:rsidP="00306E84" w:rsidRDefault="00F053EC">
            <w:pPr>
              <w:spacing w:after="0" w:line="240" w:lineRule="auto"/>
              <w:jc w:val="center"/>
              <w:rPr>
                <w:rFonts w:ascii="Arial" w:hAnsi="Arial" w:cs="Arial"/>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0476C7" w:rsidRDefault="0036250D">
            <w:pPr>
              <w:spacing w:after="0" w:line="240" w:lineRule="auto"/>
              <w:jc w:val="right"/>
              <w:rPr>
                <w:rFonts w:ascii="Arial" w:hAnsi="Arial" w:cs="Arial"/>
                <w:color w:val="000000" w:themeColor="text1"/>
                <w:sz w:val="20"/>
                <w:szCs w:val="20"/>
              </w:rPr>
            </w:pPr>
          </w:p>
          <w:p w:rsidRPr="00E32E7B" w:rsidR="00306E84" w:rsidP="000476C7" w:rsidRDefault="0007479D">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2.254,29</w:t>
            </w:r>
            <w:r>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0476C7" w:rsidRDefault="0036250D">
            <w:pPr>
              <w:spacing w:after="0" w:line="240" w:lineRule="auto"/>
              <w:jc w:val="right"/>
              <w:rPr>
                <w:rFonts w:ascii="Arial" w:hAnsi="Arial" w:cs="Arial"/>
                <w:color w:val="000000" w:themeColor="text1"/>
                <w:sz w:val="20"/>
                <w:szCs w:val="20"/>
              </w:rPr>
            </w:pPr>
          </w:p>
          <w:p w:rsidRPr="00E32E7B" w:rsidR="00306E84" w:rsidP="0007479D" w:rsidRDefault="00E112C8">
            <w:pPr>
              <w:spacing w:after="0" w:line="240" w:lineRule="auto"/>
              <w:jc w:val="right"/>
              <w:rPr>
                <w:rFonts w:ascii="Arial" w:hAnsi="Arial" w:cs="Arial"/>
                <w:color w:val="000000" w:themeColor="text1"/>
                <w:sz w:val="20"/>
                <w:szCs w:val="20"/>
              </w:rPr>
            </w:pPr>
            <w:r w:rsidRPr="00E32E7B">
              <w:rPr>
                <w:rFonts w:ascii="Arial" w:hAnsi="Arial" w:cs="Arial"/>
                <w:color w:val="000000" w:themeColor="text1"/>
                <w:sz w:val="20"/>
                <w:szCs w:val="20"/>
              </w:rPr>
              <w:fldChar w:fldCharType="begin"/>
            </w:r>
            <w:r w:rsidRPr="00E32E7B">
              <w:rPr>
                <w:rFonts w:ascii="Arial" w:hAnsi="Arial" w:cs="Arial"/>
                <w:color w:val="000000" w:themeColor="text1"/>
                <w:sz w:val="20"/>
                <w:szCs w:val="20"/>
              </w:rPr>
              <w:instrText xml:space="preserve"> =SUM(ABOVE) </w:instrText>
            </w:r>
            <w:r w:rsidRPr="00E32E7B">
              <w:rPr>
                <w:rFonts w:ascii="Arial" w:hAnsi="Arial" w:cs="Arial"/>
                <w:color w:val="000000" w:themeColor="text1"/>
                <w:sz w:val="20"/>
                <w:szCs w:val="20"/>
              </w:rPr>
              <w:fldChar w:fldCharType="end"/>
            </w:r>
            <w:r w:rsidR="0007479D">
              <w:rPr>
                <w:rFonts w:ascii="Arial" w:hAnsi="Arial" w:cs="Arial"/>
                <w:color w:val="000000" w:themeColor="text1"/>
                <w:sz w:val="20"/>
                <w:szCs w:val="20"/>
              </w:rPr>
              <w:fldChar w:fldCharType="begin"/>
            </w:r>
            <w:r w:rsidR="0007479D">
              <w:rPr>
                <w:rFonts w:ascii="Arial" w:hAnsi="Arial" w:cs="Arial"/>
                <w:color w:val="000000" w:themeColor="text1"/>
                <w:sz w:val="20"/>
                <w:szCs w:val="20"/>
              </w:rPr>
              <w:instrText xml:space="preserve"> =SUM(ABOVE) </w:instrText>
            </w:r>
            <w:r w:rsidR="0007479D">
              <w:rPr>
                <w:rFonts w:ascii="Arial" w:hAnsi="Arial" w:cs="Arial"/>
                <w:color w:val="000000" w:themeColor="text1"/>
                <w:sz w:val="20"/>
                <w:szCs w:val="20"/>
              </w:rPr>
              <w:fldChar w:fldCharType="separate"/>
            </w:r>
            <w:r w:rsidR="0007479D">
              <w:rPr>
                <w:rFonts w:ascii="Arial" w:hAnsi="Arial" w:cs="Arial"/>
                <w:noProof/>
                <w:color w:val="000000" w:themeColor="text1"/>
                <w:sz w:val="20"/>
                <w:szCs w:val="20"/>
              </w:rPr>
              <w:t>2.254,29</w:t>
            </w:r>
            <w:r w:rsidR="0007479D">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6250D" w:rsidP="00306E84" w:rsidRDefault="0036250D">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0" w:line="240" w:lineRule="auto"/>
              <w:rPr>
                <w:rFonts w:ascii="Arial" w:hAnsi="Arial" w:cs="Arial"/>
                <w:color w:val="000000" w:themeColor="text1"/>
                <w:sz w:val="20"/>
                <w:szCs w:val="20"/>
              </w:rPr>
            </w:pPr>
          </w:p>
        </w:tc>
      </w:tr>
    </w:tbl>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B10E42"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3145A5">
        <w:rPr>
          <w:rFonts w:ascii="Arial" w:hAnsi="Arial" w:eastAsia="Times New Roman" w:cs="Arial"/>
          <w:sz w:val="24"/>
          <w:szCs w:val="24"/>
          <w:lang w:eastAsia="hr-HR"/>
        </w:rPr>
        <w:t xml:space="preserve">utvrđenima u iznosu od </w:t>
      </w:r>
      <w:r w:rsidRPr="003145A5" w:rsidR="0007479D">
        <w:rPr>
          <w:rFonts w:ascii="Arial" w:hAnsi="Arial" w:cs="Arial"/>
          <w:sz w:val="24"/>
          <w:szCs w:val="24"/>
        </w:rPr>
        <w:t>2.254,29</w:t>
      </w:r>
      <w:r w:rsidRPr="003145A5" w:rsidR="00E112C8">
        <w:rPr>
          <w:rFonts w:ascii="Arial" w:hAnsi="Arial" w:cs="Arial"/>
          <w:sz w:val="24"/>
          <w:szCs w:val="24"/>
        </w:rPr>
        <w:t xml:space="preserve"> </w:t>
      </w:r>
      <w:r w:rsidRPr="003145A5">
        <w:rPr>
          <w:rFonts w:ascii="Arial" w:hAnsi="Arial" w:eastAsia="Times New Roman" w:cs="Arial"/>
          <w:sz w:val="24"/>
          <w:szCs w:val="24"/>
          <w:lang w:eastAsia="hr-HR"/>
        </w:rPr>
        <w:t xml:space="preserve">kn,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5F026E">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07479D">
        <w:rPr>
          <w:rFonts w:ascii="Arial" w:hAnsi="Arial" w:eastAsia="Times New Roman" w:cs="Arial"/>
          <w:sz w:val="24"/>
          <w:szCs w:val="24"/>
          <w:lang w:eastAsia="hr-HR"/>
        </w:rPr>
        <w:t>30</w:t>
      </w:r>
      <w:r w:rsidRPr="00E32E7B" w:rsidR="00B10E42">
        <w:rPr>
          <w:rFonts w:ascii="Arial" w:hAnsi="Arial" w:eastAsia="Times New Roman" w:cs="Arial"/>
          <w:sz w:val="24"/>
          <w:szCs w:val="24"/>
          <w:lang w:eastAsia="hr-HR"/>
        </w:rPr>
        <w:t>.</w:t>
      </w:r>
      <w:r w:rsidR="0007479D">
        <w:rPr>
          <w:rFonts w:ascii="Arial" w:hAnsi="Arial" w:eastAsia="Times New Roman" w:cs="Arial"/>
          <w:sz w:val="24"/>
          <w:szCs w:val="24"/>
          <w:lang w:eastAsia="hr-HR"/>
        </w:rPr>
        <w:t xml:space="preserve"> kolovoza</w:t>
      </w:r>
      <w:r w:rsidRPr="00E32E7B" w:rsidR="00B10E42">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07479D">
        <w:rPr>
          <w:rFonts w:ascii="Arial" w:hAnsi="Arial" w:eastAsia="Times New Roman" w:cs="Arial"/>
          <w:color w:val="000000" w:themeColor="text1"/>
          <w:sz w:val="24"/>
          <w:szCs w:val="24"/>
          <w:lang w:eastAsia="hr-HR"/>
        </w:rPr>
        <w:t>05</w:t>
      </w:r>
      <w:r w:rsidRPr="00E32E7B">
        <w:rPr>
          <w:rFonts w:ascii="Arial" w:hAnsi="Arial" w:eastAsia="Times New Roman" w:cs="Arial"/>
          <w:color w:val="000000" w:themeColor="text1"/>
          <w:sz w:val="24"/>
          <w:szCs w:val="24"/>
          <w:lang w:eastAsia="hr-HR"/>
        </w:rPr>
        <w:t xml:space="preserve">. </w:t>
      </w:r>
      <w:r w:rsidR="0007479D">
        <w:rPr>
          <w:rFonts w:ascii="Arial" w:hAnsi="Arial" w:eastAsia="Times New Roman" w:cs="Arial"/>
          <w:color w:val="000000" w:themeColor="text1"/>
          <w:sz w:val="24"/>
          <w:szCs w:val="24"/>
          <w:lang w:eastAsia="hr-HR"/>
        </w:rPr>
        <w:t>prosinca</w:t>
      </w:r>
      <w:r w:rsidRPr="00E32E7B" w:rsidR="00E112C8">
        <w:rPr>
          <w:rFonts w:ascii="Arial" w:hAnsi="Arial" w:eastAsia="Times New Roman" w:cs="Arial"/>
          <w:color w:val="000000" w:themeColor="text1"/>
          <w:sz w:val="24"/>
          <w:szCs w:val="24"/>
          <w:lang w:eastAsia="hr-HR"/>
        </w:rPr>
        <w:t xml:space="preserve"> 202</w:t>
      </w:r>
      <w:r w:rsidR="00C26B0A">
        <w:rPr>
          <w:rFonts w:ascii="Arial" w:hAnsi="Arial" w:eastAsia="Times New Roman" w:cs="Arial"/>
          <w:color w:val="000000" w:themeColor="text1"/>
          <w:sz w:val="24"/>
          <w:szCs w:val="24"/>
          <w:lang w:eastAsia="hr-HR"/>
        </w:rPr>
        <w:t>2</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5F026E" w:rsidR="00DC24BE" w:rsidP="00DC24BE" w:rsidRDefault="00DC24BE">
      <w:pPr>
        <w:spacing w:after="0" w:line="240" w:lineRule="auto"/>
        <w:jc w:val="both"/>
        <w:rPr>
          <w:rFonts w:ascii="Arial" w:hAnsi="Arial" w:eastAsia="Times New Roman" w:cs="Arial"/>
          <w:sz w:val="24"/>
          <w:szCs w:val="24"/>
          <w:lang w:eastAsia="hr-HR"/>
        </w:rPr>
      </w:pPr>
      <w:r w:rsidRPr="005F026E">
        <w:rPr>
          <w:rFonts w:ascii="Arial" w:hAnsi="Arial" w:eastAsia="Times New Roman" w:cs="Arial"/>
          <w:sz w:val="24"/>
          <w:szCs w:val="24"/>
          <w:lang w:eastAsia="hr-HR"/>
        </w:rPr>
        <w:t xml:space="preserve">-  vjerovniku RH, Ministarstvo financija, utvrđena tražbina u ukupnom iznosu od </w:t>
      </w:r>
      <w:r w:rsidRPr="005F026E" w:rsidR="005F026E">
        <w:rPr>
          <w:rFonts w:ascii="Arial" w:hAnsi="Arial" w:eastAsia="Times New Roman" w:cs="Arial"/>
          <w:sz w:val="24"/>
          <w:szCs w:val="24"/>
          <w:lang w:eastAsia="hr-HR"/>
        </w:rPr>
        <w:t>10.344,84</w:t>
      </w:r>
      <w:r w:rsidRPr="005F026E">
        <w:rPr>
          <w:rFonts w:ascii="Arial" w:hAnsi="Arial" w:eastAsia="Times New Roman" w:cs="Arial"/>
          <w:sz w:val="24"/>
          <w:szCs w:val="24"/>
          <w:lang w:eastAsia="hr-HR"/>
        </w:rPr>
        <w:t xml:space="preserve"> kn</w:t>
      </w:r>
      <w:r w:rsidR="003145A5">
        <w:rPr>
          <w:rFonts w:ascii="Arial" w:hAnsi="Arial" w:eastAsia="Times New Roman" w:cs="Arial"/>
          <w:sz w:val="24"/>
          <w:szCs w:val="24"/>
          <w:lang w:eastAsia="hr-HR"/>
        </w:rPr>
        <w:t>.</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145A5">
        <w:rPr>
          <w:rFonts w:ascii="Arial" w:hAnsi="Arial" w:eastAsia="Times New Roman" w:cs="Arial"/>
          <w:sz w:val="24"/>
          <w:szCs w:val="24"/>
          <w:lang w:eastAsia="hr-HR"/>
        </w:rPr>
        <w:t>navodi kao u predanom izvješću.</w:t>
      </w:r>
      <w:r w:rsidRPr="00E32E7B" w:rsidR="00AB4AF8">
        <w:rPr>
          <w:rFonts w:ascii="Arial" w:hAnsi="Arial" w:eastAsia="Times New Roman" w:cs="Arial"/>
          <w:color w:val="000000" w:themeColor="text1"/>
          <w:sz w:val="24"/>
          <w:szCs w:val="24"/>
          <w:lang w:eastAsia="hr-HR"/>
        </w:rPr>
        <w:t xml:space="preserve"> </w:t>
      </w:r>
      <w:r w:rsidRPr="00E32E7B" w:rsidR="00AB4AF8">
        <w:rPr>
          <w:rFonts w:ascii="Arial" w:hAnsi="Arial" w:eastAsia="Times New Roman" w:cs="Arial"/>
          <w:color w:val="000000" w:themeColor="text1"/>
          <w:sz w:val="24"/>
          <w:szCs w:val="24"/>
          <w:lang w:eastAsia="hr-HR"/>
        </w:rPr>
        <w:tab/>
      </w:r>
    </w:p>
    <w:p w:rsidRPr="00E32E7B" w:rsidR="00AB4AF8"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872442" w:rsidP="00DC24BE" w:rsidRDefault="00872442">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Stečajna</w:t>
      </w:r>
      <w:r w:rsidRPr="00E32E7B">
        <w:rPr>
          <w:rFonts w:ascii="Arial" w:hAnsi="Arial" w:eastAsia="Times New Roman" w:cs="Arial"/>
          <w:sz w:val="24"/>
          <w:szCs w:val="24"/>
          <w:lang w:eastAsia="hr-HR"/>
        </w:rPr>
        <w:t xml:space="preserve"> upravitelj</w:t>
      </w:r>
      <w:r w:rsidRPr="00E32E7B" w:rsidR="00E112C8">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0007479D" w:rsidP="0007479D" w:rsidRDefault="0007479D">
      <w:pPr>
        <w:autoSpaceDE w:val="false"/>
        <w:autoSpaceDN w:val="false"/>
        <w:adjustRightInd w:val="false"/>
        <w:spacing w:after="0" w:line="240" w:lineRule="auto"/>
        <w:jc w:val="both"/>
        <w:rPr>
          <w:rFonts w:ascii="CIDFont+F2" w:hAnsi="CIDFont+F2" w:cs="CIDFont+F2"/>
          <w:sz w:val="24"/>
          <w:szCs w:val="24"/>
          <w:lang w:eastAsia="hr-HR"/>
        </w:rPr>
      </w:pPr>
      <w:r>
        <w:rPr>
          <w:rFonts w:ascii="CIDFont+F2" w:hAnsi="CIDFont+F2" w:cs="CIDFont+F2"/>
          <w:sz w:val="24"/>
          <w:szCs w:val="24"/>
          <w:lang w:eastAsia="hr-HR"/>
        </w:rPr>
        <w:t xml:space="preserve">1. </w:t>
      </w:r>
      <w:r>
        <w:rPr>
          <w:rFonts w:ascii="CIDFont+F2" w:hAnsi="CIDFont+F2" w:cs="CIDFont+F2"/>
          <w:sz w:val="24"/>
          <w:szCs w:val="24"/>
          <w:lang w:eastAsia="hr-HR"/>
        </w:rPr>
        <w:tab/>
        <w:t>prihvaća se u cijelosti Izvješće stečajnog upravitelja i poduzete radnje</w:t>
      </w:r>
      <w:r w:rsidR="005F026E">
        <w:rPr>
          <w:rFonts w:ascii="CIDFont+F2" w:hAnsi="CIDFont+F2" w:cs="CIDFont+F2"/>
          <w:sz w:val="24"/>
          <w:szCs w:val="24"/>
          <w:lang w:eastAsia="hr-HR"/>
        </w:rPr>
        <w:t>,</w:t>
      </w:r>
    </w:p>
    <w:p w:rsidR="00FD19EF" w:rsidP="0007479D" w:rsidRDefault="00FD19EF">
      <w:pPr>
        <w:autoSpaceDE w:val="false"/>
        <w:autoSpaceDN w:val="false"/>
        <w:adjustRightInd w:val="false"/>
        <w:spacing w:after="0" w:line="240" w:lineRule="auto"/>
        <w:jc w:val="both"/>
        <w:rPr>
          <w:rFonts w:ascii="CIDFont+F2" w:hAnsi="CIDFont+F2" w:cs="CIDFont+F2"/>
          <w:sz w:val="24"/>
          <w:szCs w:val="24"/>
          <w:lang w:eastAsia="hr-HR"/>
        </w:rPr>
      </w:pPr>
    </w:p>
    <w:p w:rsidR="0007479D" w:rsidP="0007479D" w:rsidRDefault="0007479D">
      <w:pPr>
        <w:autoSpaceDE w:val="false"/>
        <w:autoSpaceDN w:val="false"/>
        <w:adjustRightInd w:val="false"/>
        <w:spacing w:after="0" w:line="240" w:lineRule="auto"/>
        <w:jc w:val="both"/>
        <w:rPr>
          <w:rFonts w:ascii="CIDFont+F2" w:hAnsi="CIDFont+F2" w:cs="CIDFont+F2"/>
          <w:sz w:val="24"/>
          <w:szCs w:val="24"/>
          <w:lang w:eastAsia="hr-HR"/>
        </w:rPr>
      </w:pPr>
      <w:r>
        <w:rPr>
          <w:rFonts w:ascii="CIDFont+F2" w:hAnsi="CIDFont+F2" w:cs="CIDFont+F2"/>
          <w:sz w:val="24"/>
          <w:szCs w:val="24"/>
          <w:lang w:eastAsia="hr-HR"/>
        </w:rPr>
        <w:t xml:space="preserve">2. </w:t>
      </w:r>
      <w:r>
        <w:rPr>
          <w:rFonts w:ascii="CIDFont+F2" w:hAnsi="CIDFont+F2" w:cs="CIDFont+F2"/>
          <w:sz w:val="24"/>
          <w:szCs w:val="24"/>
          <w:lang w:eastAsia="hr-HR"/>
        </w:rPr>
        <w:tab/>
        <w:t>utvrđuje se da nema mogućnosti da se poslovanje stečajnog dužnika nastavi ili ponovno pokrene,</w:t>
      </w:r>
    </w:p>
    <w:p w:rsidR="00FD19EF" w:rsidP="0007479D" w:rsidRDefault="00FD19EF">
      <w:pPr>
        <w:autoSpaceDE w:val="false"/>
        <w:autoSpaceDN w:val="false"/>
        <w:adjustRightInd w:val="false"/>
        <w:spacing w:after="0" w:line="240" w:lineRule="auto"/>
        <w:jc w:val="both"/>
        <w:rPr>
          <w:rFonts w:ascii="CIDFont+F2" w:hAnsi="CIDFont+F2" w:cs="CIDFont+F2"/>
          <w:sz w:val="24"/>
          <w:szCs w:val="24"/>
          <w:lang w:eastAsia="hr-HR"/>
        </w:rPr>
      </w:pPr>
    </w:p>
    <w:p w:rsidRPr="00E32E7B" w:rsidR="00AB4AF8" w:rsidP="00FD19EF" w:rsidRDefault="0007479D">
      <w:pPr>
        <w:autoSpaceDE w:val="false"/>
        <w:autoSpaceDN w:val="false"/>
        <w:adjustRightInd w:val="false"/>
        <w:spacing w:after="0" w:line="240" w:lineRule="auto"/>
        <w:jc w:val="both"/>
        <w:rPr>
          <w:rFonts w:ascii="Arial" w:hAnsi="Arial" w:eastAsia="Times New Roman" w:cs="Arial"/>
          <w:color w:val="000000" w:themeColor="text1"/>
          <w:kern w:val="3"/>
          <w:sz w:val="24"/>
          <w:szCs w:val="24"/>
          <w:lang w:eastAsia="hr-HR"/>
        </w:rPr>
      </w:pPr>
      <w:r>
        <w:rPr>
          <w:rFonts w:ascii="CIDFont+F2" w:hAnsi="CIDFont+F2" w:cs="CIDFont+F2"/>
          <w:sz w:val="24"/>
          <w:szCs w:val="24"/>
          <w:lang w:eastAsia="hr-HR"/>
        </w:rPr>
        <w:t xml:space="preserve">3. </w:t>
      </w:r>
      <w:r>
        <w:rPr>
          <w:rFonts w:ascii="CIDFont+F2" w:hAnsi="CIDFont+F2" w:cs="CIDFont+F2"/>
          <w:sz w:val="24"/>
          <w:szCs w:val="24"/>
          <w:lang w:eastAsia="hr-HR"/>
        </w:rPr>
        <w:tab/>
        <w:t>daje se suglasnost stečajnom upravitelju da pristupi prodaji imovine stečajnog dužnika (teretnog vozila, sitnog inventara i zalihi trgovačke robe) s početnom cijenom za vozilo u iznosu procijenjene vrijednosti po sudskom procjenitelju od 22.081,09 kuna, za sitni inventar skupno u iznosu od 3.218,89 kuna i za zalihe skupno u iznosu od 1.053,90 kn.</w:t>
      </w:r>
      <w:r w:rsidR="00FD19EF">
        <w:rPr>
          <w:rFonts w:ascii="CIDFont+F2" w:hAnsi="CIDFont+F2" w:cs="CIDFont+F2"/>
          <w:sz w:val="24"/>
          <w:szCs w:val="24"/>
          <w:lang w:eastAsia="hr-HR"/>
        </w:rPr>
        <w:t xml:space="preserve"> </w:t>
      </w:r>
      <w:r>
        <w:rPr>
          <w:rFonts w:ascii="CIDFont+F2" w:hAnsi="CIDFont+F2" w:cs="CIDFont+F2"/>
          <w:sz w:val="24"/>
          <w:szCs w:val="24"/>
          <w:lang w:eastAsia="hr-HR"/>
        </w:rPr>
        <w:t>Ukoliko se pokretnine ne unovče kod 1. javnog prikupljanja ponuda, poč</w:t>
      </w:r>
      <w:r w:rsidR="00FD19EF">
        <w:rPr>
          <w:rFonts w:ascii="CIDFont+F2" w:hAnsi="CIDFont+F2" w:cs="CIDFont+F2"/>
          <w:sz w:val="24"/>
          <w:szCs w:val="24"/>
          <w:lang w:eastAsia="hr-HR"/>
        </w:rPr>
        <w:t xml:space="preserve">etna cijena kod </w:t>
      </w:r>
      <w:r>
        <w:rPr>
          <w:rFonts w:ascii="CIDFont+F2" w:hAnsi="CIDFont+F2" w:cs="CIDFont+F2"/>
          <w:sz w:val="24"/>
          <w:szCs w:val="24"/>
          <w:lang w:eastAsia="hr-HR"/>
        </w:rPr>
        <w:t>svake naredne prodaje umanjivati će se po 10% u odnosu na početnu cijenu iz</w:t>
      </w:r>
      <w:r w:rsidR="00FD19EF">
        <w:rPr>
          <w:rFonts w:ascii="CIDFont+F2" w:hAnsi="CIDFont+F2" w:cs="CIDFont+F2"/>
          <w:sz w:val="24"/>
          <w:szCs w:val="24"/>
          <w:lang w:eastAsia="hr-HR"/>
        </w:rPr>
        <w:t xml:space="preserve"> </w:t>
      </w:r>
      <w:r>
        <w:rPr>
          <w:rFonts w:ascii="CIDFont+F2" w:hAnsi="CIDFont+F2" w:cs="CIDFont+F2"/>
          <w:sz w:val="24"/>
          <w:szCs w:val="24"/>
          <w:lang w:eastAsia="hr-HR"/>
        </w:rPr>
        <w:t>prethodnog oglasa. Kao uvjet valjanosti ponude zatražit će se uplata jamčevine u visini</w:t>
      </w:r>
      <w:r w:rsidR="00FD19EF">
        <w:rPr>
          <w:rFonts w:ascii="CIDFont+F2" w:hAnsi="CIDFont+F2" w:cs="CIDFont+F2"/>
          <w:sz w:val="24"/>
          <w:szCs w:val="24"/>
          <w:lang w:eastAsia="hr-HR"/>
        </w:rPr>
        <w:t xml:space="preserve"> </w:t>
      </w:r>
      <w:r>
        <w:rPr>
          <w:rFonts w:ascii="CIDFont+F2" w:hAnsi="CIDFont+F2" w:cs="CIDFont+F2"/>
          <w:sz w:val="24"/>
          <w:szCs w:val="24"/>
          <w:lang w:eastAsia="hr-HR"/>
        </w:rPr>
        <w:t>od 10% početne cijene iz oglasa. Oglasi o javnom prikupljanju ponuda objavljivati će se</w:t>
      </w:r>
      <w:r w:rsidR="00FD19EF">
        <w:rPr>
          <w:rFonts w:ascii="CIDFont+F2" w:hAnsi="CIDFont+F2" w:cs="CIDFont+F2"/>
          <w:sz w:val="24"/>
          <w:szCs w:val="24"/>
          <w:lang w:eastAsia="hr-HR"/>
        </w:rPr>
        <w:t xml:space="preserve"> </w:t>
      </w:r>
      <w:r>
        <w:rPr>
          <w:rFonts w:ascii="CIDFont+F2" w:hAnsi="CIDFont+F2" w:cs="CIDFont+F2"/>
          <w:sz w:val="24"/>
          <w:szCs w:val="24"/>
          <w:lang w:eastAsia="hr-HR"/>
        </w:rPr>
        <w:t>na sudačkoj mreži (web stečaj) Visokog trgovačkog suda.</w:t>
      </w:r>
    </w:p>
    <w:p w:rsidRPr="00E32E7B"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5F026E">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FD19EF" w:rsidP="00DC24BE" w:rsidRDefault="00FD19EF">
      <w:pPr>
        <w:spacing w:after="0" w:line="240" w:lineRule="auto"/>
        <w:jc w:val="center"/>
        <w:rPr>
          <w:rFonts w:ascii="Arial" w:hAnsi="Arial" w:eastAsia="Times New Roman" w:cs="Arial"/>
          <w:color w:val="000000" w:themeColor="text1"/>
          <w:sz w:val="24"/>
          <w:szCs w:val="24"/>
          <w:lang w:eastAsia="hr-HR"/>
        </w:rPr>
      </w:pPr>
    </w:p>
    <w:p w:rsidRPr="00E32E7B" w:rsidR="003145A5" w:rsidP="003145A5" w:rsidRDefault="003145A5">
      <w:pPr>
        <w:spacing w:after="0" w:line="240" w:lineRule="auto"/>
        <w:jc w:val="center"/>
        <w:rPr>
          <w:rFonts w:ascii="Arial" w:hAnsi="Arial" w:eastAsia="Times New Roman" w:cs="Arial"/>
          <w:sz w:val="24"/>
          <w:szCs w:val="24"/>
          <w:lang w:eastAsia="hr-HR"/>
        </w:rPr>
      </w:pPr>
    </w:p>
    <w:p w:rsidRPr="003145A5" w:rsidR="003145A5" w:rsidP="003145A5" w:rsidRDefault="003145A5">
      <w:pPr>
        <w:autoSpaceDE w:val="false"/>
        <w:autoSpaceDN w:val="false"/>
        <w:adjustRightInd w:val="false"/>
        <w:spacing w:after="0" w:line="240" w:lineRule="auto"/>
        <w:jc w:val="both"/>
        <w:rPr>
          <w:rFonts w:ascii="Arial" w:hAnsi="Arial" w:cs="Arial"/>
          <w:b/>
          <w:sz w:val="24"/>
          <w:szCs w:val="24"/>
          <w:lang w:eastAsia="hr-HR"/>
        </w:rPr>
      </w:pPr>
      <w:r w:rsidRPr="003145A5">
        <w:rPr>
          <w:rFonts w:ascii="Arial" w:hAnsi="Arial" w:cs="Arial"/>
          <w:b/>
          <w:sz w:val="24"/>
          <w:szCs w:val="24"/>
          <w:lang w:eastAsia="hr-HR"/>
        </w:rPr>
        <w:t xml:space="preserve">1. </w:t>
      </w:r>
      <w:r w:rsidRPr="003145A5">
        <w:rPr>
          <w:rFonts w:ascii="Arial" w:hAnsi="Arial" w:cs="Arial"/>
          <w:b/>
          <w:sz w:val="24"/>
          <w:szCs w:val="24"/>
          <w:lang w:eastAsia="hr-HR"/>
        </w:rPr>
        <w:tab/>
        <w:t>prihvaća se u cijelosti Izvješće stečajnog upravitelja i poduzete radnje,</w:t>
      </w:r>
    </w:p>
    <w:p w:rsidRPr="003145A5" w:rsidR="003145A5" w:rsidP="003145A5" w:rsidRDefault="003145A5">
      <w:pPr>
        <w:autoSpaceDE w:val="false"/>
        <w:autoSpaceDN w:val="false"/>
        <w:adjustRightInd w:val="false"/>
        <w:spacing w:after="0" w:line="240" w:lineRule="auto"/>
        <w:jc w:val="both"/>
        <w:rPr>
          <w:rFonts w:ascii="Arial" w:hAnsi="Arial" w:cs="Arial"/>
          <w:b/>
          <w:sz w:val="24"/>
          <w:szCs w:val="24"/>
          <w:lang w:eastAsia="hr-HR"/>
        </w:rPr>
      </w:pPr>
    </w:p>
    <w:p w:rsidRPr="003145A5" w:rsidR="003145A5" w:rsidP="003145A5" w:rsidRDefault="003145A5">
      <w:pPr>
        <w:autoSpaceDE w:val="false"/>
        <w:autoSpaceDN w:val="false"/>
        <w:adjustRightInd w:val="false"/>
        <w:spacing w:after="0" w:line="240" w:lineRule="auto"/>
        <w:jc w:val="both"/>
        <w:rPr>
          <w:rFonts w:ascii="Arial" w:hAnsi="Arial" w:cs="Arial"/>
          <w:b/>
          <w:sz w:val="24"/>
          <w:szCs w:val="24"/>
          <w:lang w:eastAsia="hr-HR"/>
        </w:rPr>
      </w:pPr>
      <w:r w:rsidRPr="003145A5">
        <w:rPr>
          <w:rFonts w:ascii="Arial" w:hAnsi="Arial" w:cs="Arial"/>
          <w:b/>
          <w:sz w:val="24"/>
          <w:szCs w:val="24"/>
          <w:lang w:eastAsia="hr-HR"/>
        </w:rPr>
        <w:t xml:space="preserve">2. </w:t>
      </w:r>
      <w:r w:rsidRPr="003145A5">
        <w:rPr>
          <w:rFonts w:ascii="Arial" w:hAnsi="Arial" w:cs="Arial"/>
          <w:b/>
          <w:sz w:val="24"/>
          <w:szCs w:val="24"/>
          <w:lang w:eastAsia="hr-HR"/>
        </w:rPr>
        <w:tab/>
        <w:t>utvrđuje se da nema mogućnosti da se poslovanje stečajnog dužnika nastavi ili ponovno pokrene,</w:t>
      </w:r>
    </w:p>
    <w:p w:rsidRPr="003145A5" w:rsidR="003145A5" w:rsidP="003145A5" w:rsidRDefault="003145A5">
      <w:pPr>
        <w:autoSpaceDE w:val="false"/>
        <w:autoSpaceDN w:val="false"/>
        <w:adjustRightInd w:val="false"/>
        <w:spacing w:after="0" w:line="240" w:lineRule="auto"/>
        <w:jc w:val="both"/>
        <w:rPr>
          <w:rFonts w:ascii="Arial" w:hAnsi="Arial" w:cs="Arial"/>
          <w:b/>
          <w:sz w:val="24"/>
          <w:szCs w:val="24"/>
          <w:lang w:eastAsia="hr-HR"/>
        </w:rPr>
      </w:pPr>
    </w:p>
    <w:p w:rsidRPr="003145A5" w:rsidR="003145A5" w:rsidP="003145A5" w:rsidRDefault="003145A5">
      <w:pPr>
        <w:autoSpaceDE w:val="false"/>
        <w:autoSpaceDN w:val="false"/>
        <w:adjustRightInd w:val="false"/>
        <w:spacing w:after="0" w:line="240" w:lineRule="auto"/>
        <w:jc w:val="both"/>
        <w:rPr>
          <w:rFonts w:ascii="Arial" w:hAnsi="Arial" w:eastAsia="Times New Roman" w:cs="Arial"/>
          <w:b/>
          <w:color w:val="000000" w:themeColor="text1"/>
          <w:kern w:val="3"/>
          <w:sz w:val="24"/>
          <w:szCs w:val="24"/>
          <w:lang w:eastAsia="hr-HR"/>
        </w:rPr>
      </w:pPr>
      <w:r w:rsidRPr="003145A5">
        <w:rPr>
          <w:rFonts w:ascii="Arial" w:hAnsi="Arial" w:cs="Arial"/>
          <w:b/>
          <w:sz w:val="24"/>
          <w:szCs w:val="24"/>
          <w:lang w:eastAsia="hr-HR"/>
        </w:rPr>
        <w:t xml:space="preserve">3. </w:t>
      </w:r>
      <w:r w:rsidRPr="003145A5">
        <w:rPr>
          <w:rFonts w:ascii="Arial" w:hAnsi="Arial" w:cs="Arial"/>
          <w:b/>
          <w:sz w:val="24"/>
          <w:szCs w:val="24"/>
          <w:lang w:eastAsia="hr-HR"/>
        </w:rPr>
        <w:tab/>
        <w:t>daje se suglasnost stečajnom upravitelju da pristupi prodaji imovine stečajnog dužnika (teretnog vozila, sitnog inventara i zalihi trgovačke robe) s početnom cijenom za vozilo u iznosu procijenjene vrijednosti po sudskom procjenitelju od 22.081,09 kuna, za sitni inventar skupno u iznosu od 3.218,89 kuna i za zalihe skupno u iznosu od 1.053,90 kn. Ukoliko se pokretnine ne unovče kod 1. javnog prikupljanja ponuda, početna cijena kod svake naredne prodaje umanjivati će se po 10% u odnosu na početnu cijenu iz prethodnog oglasa. Kao uvjet valjanosti ponude zatražit će se uplata jamčevine u visini od 10% početne cijene iz oglasa. Oglasi o javnom prikupljanju ponuda objavljivati će se na sudačkoj mreži (web stečaj) Visokog trgovačkog suda.</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3145A5">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3145A5">
        <w:rPr>
          <w:rFonts w:ascii="Arial" w:hAnsi="Arial" w:eastAsia="Times New Roman" w:cs="Arial"/>
          <w:sz w:val="24"/>
          <w:szCs w:val="24"/>
          <w:lang w:eastAsia="hr-HR"/>
        </w:rPr>
        <w:t>4</w:t>
      </w:r>
      <w:r w:rsidRPr="00E32E7B" w:rsidR="009D45C4">
        <w:rPr>
          <w:rFonts w:ascii="Arial" w:hAnsi="Arial" w:eastAsia="Times New Roman" w:cs="Arial"/>
          <w:sz w:val="24"/>
          <w:szCs w:val="24"/>
          <w:lang w:eastAsia="hr-HR"/>
        </w:rPr>
        <w:t>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77E1" w:rsidP="00501147" w:rsidRDefault="00E777E1">
      <w:pPr>
        <w:spacing w:after="0" w:line="240" w:lineRule="auto"/>
      </w:pPr>
      <w:r>
        <w:separator/>
      </w:r>
    </w:p>
  </w:endnote>
  <w:endnote w:type="continuationSeparator" w:id="0">
    <w:p w:rsidR="00E777E1" w:rsidP="00501147" w:rsidRDefault="00E777E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IDFont+F2">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77E1" w:rsidP="00501147" w:rsidRDefault="00E777E1">
      <w:pPr>
        <w:spacing w:after="0" w:line="240" w:lineRule="auto"/>
      </w:pPr>
      <w:r>
        <w:separator/>
      </w:r>
    </w:p>
  </w:footnote>
  <w:footnote w:type="continuationSeparator" w:id="0">
    <w:p w:rsidR="00E777E1" w:rsidP="00501147" w:rsidRDefault="00E777E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D46F63">
      <w:rPr>
        <w:rFonts w:ascii="Arial" w:hAnsi="Arial" w:cs="Arial"/>
        <w:noProof/>
        <w:sz w:val="24"/>
        <w:szCs w:val="24"/>
      </w:rPr>
      <w:t>Poslovni broj: 10 St-250/2022-20</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D46F63">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7479D"/>
    <w:rsid w:val="00087C43"/>
    <w:rsid w:val="000A3779"/>
    <w:rsid w:val="000D538B"/>
    <w:rsid w:val="0012490A"/>
    <w:rsid w:val="00136B4A"/>
    <w:rsid w:val="00147D7D"/>
    <w:rsid w:val="00182A3F"/>
    <w:rsid w:val="00194888"/>
    <w:rsid w:val="001A12E8"/>
    <w:rsid w:val="001A7050"/>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45A5"/>
    <w:rsid w:val="00315F68"/>
    <w:rsid w:val="00331DFC"/>
    <w:rsid w:val="003339C2"/>
    <w:rsid w:val="00337B41"/>
    <w:rsid w:val="00340399"/>
    <w:rsid w:val="00341823"/>
    <w:rsid w:val="00342CFC"/>
    <w:rsid w:val="00343620"/>
    <w:rsid w:val="00345212"/>
    <w:rsid w:val="00354E1F"/>
    <w:rsid w:val="0036250D"/>
    <w:rsid w:val="00365307"/>
    <w:rsid w:val="00366BE7"/>
    <w:rsid w:val="003676A5"/>
    <w:rsid w:val="00367E59"/>
    <w:rsid w:val="00376603"/>
    <w:rsid w:val="00385BF0"/>
    <w:rsid w:val="003860B4"/>
    <w:rsid w:val="00394A8C"/>
    <w:rsid w:val="003A4477"/>
    <w:rsid w:val="003C3FF4"/>
    <w:rsid w:val="003D557F"/>
    <w:rsid w:val="003E06DF"/>
    <w:rsid w:val="003F1686"/>
    <w:rsid w:val="00407421"/>
    <w:rsid w:val="00422BA0"/>
    <w:rsid w:val="00450291"/>
    <w:rsid w:val="00456E44"/>
    <w:rsid w:val="004747E3"/>
    <w:rsid w:val="0049749B"/>
    <w:rsid w:val="004A0BD1"/>
    <w:rsid w:val="004C4A7C"/>
    <w:rsid w:val="004C7EB8"/>
    <w:rsid w:val="004D3178"/>
    <w:rsid w:val="004D7D26"/>
    <w:rsid w:val="004E1C60"/>
    <w:rsid w:val="00501147"/>
    <w:rsid w:val="00504323"/>
    <w:rsid w:val="00531B01"/>
    <w:rsid w:val="005745EC"/>
    <w:rsid w:val="00594B82"/>
    <w:rsid w:val="005A0F8E"/>
    <w:rsid w:val="005A22FE"/>
    <w:rsid w:val="005D6DF6"/>
    <w:rsid w:val="005E1583"/>
    <w:rsid w:val="005E1D89"/>
    <w:rsid w:val="005F026E"/>
    <w:rsid w:val="005F633B"/>
    <w:rsid w:val="00601CA3"/>
    <w:rsid w:val="00606F1C"/>
    <w:rsid w:val="006438A3"/>
    <w:rsid w:val="006609CA"/>
    <w:rsid w:val="00662134"/>
    <w:rsid w:val="006676D4"/>
    <w:rsid w:val="00685195"/>
    <w:rsid w:val="006B1E07"/>
    <w:rsid w:val="006C4130"/>
    <w:rsid w:val="006E7E61"/>
    <w:rsid w:val="007052BC"/>
    <w:rsid w:val="00712D5B"/>
    <w:rsid w:val="00713B45"/>
    <w:rsid w:val="007301A0"/>
    <w:rsid w:val="00741600"/>
    <w:rsid w:val="00741DBD"/>
    <w:rsid w:val="00744E35"/>
    <w:rsid w:val="00752D2F"/>
    <w:rsid w:val="00757A30"/>
    <w:rsid w:val="00774898"/>
    <w:rsid w:val="007802E2"/>
    <w:rsid w:val="0078776D"/>
    <w:rsid w:val="007A409A"/>
    <w:rsid w:val="007B628C"/>
    <w:rsid w:val="00812C10"/>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06ED"/>
    <w:rsid w:val="008E2C4D"/>
    <w:rsid w:val="00910040"/>
    <w:rsid w:val="0091280F"/>
    <w:rsid w:val="00920A60"/>
    <w:rsid w:val="00923264"/>
    <w:rsid w:val="0092437B"/>
    <w:rsid w:val="00953ED2"/>
    <w:rsid w:val="00955DAB"/>
    <w:rsid w:val="00957093"/>
    <w:rsid w:val="009570B8"/>
    <w:rsid w:val="0096157B"/>
    <w:rsid w:val="00964637"/>
    <w:rsid w:val="0096563D"/>
    <w:rsid w:val="00975368"/>
    <w:rsid w:val="00984BD4"/>
    <w:rsid w:val="009D45C4"/>
    <w:rsid w:val="009D7486"/>
    <w:rsid w:val="00A30AB2"/>
    <w:rsid w:val="00A31425"/>
    <w:rsid w:val="00A31587"/>
    <w:rsid w:val="00A36EF8"/>
    <w:rsid w:val="00A4541F"/>
    <w:rsid w:val="00A65E60"/>
    <w:rsid w:val="00A954D4"/>
    <w:rsid w:val="00AA1295"/>
    <w:rsid w:val="00AB4AF8"/>
    <w:rsid w:val="00AE7988"/>
    <w:rsid w:val="00AF28D9"/>
    <w:rsid w:val="00B006B4"/>
    <w:rsid w:val="00B00B9A"/>
    <w:rsid w:val="00B10018"/>
    <w:rsid w:val="00B10E42"/>
    <w:rsid w:val="00B43087"/>
    <w:rsid w:val="00B43741"/>
    <w:rsid w:val="00B92B86"/>
    <w:rsid w:val="00B9478D"/>
    <w:rsid w:val="00BA2A1C"/>
    <w:rsid w:val="00BA38AE"/>
    <w:rsid w:val="00BC5568"/>
    <w:rsid w:val="00BD077A"/>
    <w:rsid w:val="00BD657F"/>
    <w:rsid w:val="00BF777D"/>
    <w:rsid w:val="00C00BC2"/>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46F63"/>
    <w:rsid w:val="00D50D29"/>
    <w:rsid w:val="00D61120"/>
    <w:rsid w:val="00DB5D1B"/>
    <w:rsid w:val="00DC24BE"/>
    <w:rsid w:val="00DC5347"/>
    <w:rsid w:val="00DC66A8"/>
    <w:rsid w:val="00DC70E5"/>
    <w:rsid w:val="00DD27A9"/>
    <w:rsid w:val="00DE7814"/>
    <w:rsid w:val="00E112C8"/>
    <w:rsid w:val="00E14573"/>
    <w:rsid w:val="00E32E7B"/>
    <w:rsid w:val="00E349A5"/>
    <w:rsid w:val="00E677AB"/>
    <w:rsid w:val="00E7211F"/>
    <w:rsid w:val="00E777E1"/>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873DE"/>
    <w:rsid w:val="00FB3326"/>
    <w:rsid w:val="00FC02D2"/>
    <w:rsid w:val="00FC4563"/>
    <w:rsid w:val="00FD19EF"/>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13. prosinca 2022.</izvorni_sadrzaj>
    <derivirana_varijabla naziv="DomainObject.StvarniPocetakDatum_1">13. prosinca 2022.</derivirana_varijabla>
  </DomainObject.StvarniPocetakDatum>
  <DomainObject.StvarniZavrsetakDatum>
    <izvorni_sadrzaj>13. prosinca 2022.</izvorni_sadrzaj>
    <derivirana_varijabla naziv="DomainObject.StvarniZavrsetakDatum_1">13. prosinca 2022.</derivirana_varijabla>
  </DomainObject.StvarniZavrsetakDatum>
  <DomainObject.PlaniraniZavrsetakDatum>
    <izvorni_sadrzaj>13. prosinca 2022.</izvorni_sadrzaj>
    <derivirana_varijabla naziv="DomainObject.PlaniraniZavrsetakDatum_1">13. prosinca 2022.</derivirana_varijabla>
  </DomainObject.PlaniraniZavrsetakDatum>
  <DomainObject.PlaniraniPocetakDatum>
    <izvorni_sadrzaj>13. prosinca 2022.</izvorni_sadrzaj>
    <derivirana_varijabla naziv="DomainObject.PlaniraniPocetakDatum_1">13. prosinca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prosinca 2022.</izvorni_sadrzaj>
    <derivirana_varijabla naziv="DomainObject.Zapisnik.DatumKreiranja_1">13. prosinca 2022.</derivirana_varijabla>
  </DomainObject.Zapisnik.DatumKreiranja>
  <DomainObject.Zapisnik.ImovinskaKorist>
    <izvorni_sadrzaj/>
    <derivirana_varijabla naziv="DomainObject.Zapisnik.ImovinskaKorist_1"/>
  </DomainObject.Zapisnik.ImovinskaKorist>
  <DomainObject.Zapisnik.Oznaka>
    <izvorni_sadrzaj>St-250/2022-20</izvorni_sadrzaj>
    <derivirana_varijabla naziv="DomainObject.Zapisnik.Oznaka_1">St-250/2022-20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srpnja 2022.</izvorni_sadrzaj>
    <derivirana_varijabla naziv="DomainObject.Predmet.DatumIzradeOptuznogAkta_1">27. srpnja 2022.</derivirana_varijabla>
  </DomainObject.Predmet.DatumIzradeOptuznogAkta>
  <DomainObject.Predmet.DatumIzradeOptuznogAktaFormated>
    <izvorni_sadrzaj>27.7.2022.</izvorni_sadrzaj>
    <derivirana_varijabla naziv="DomainObject.Predmet.DatumIzradeOptuznogAktaFormated_1">27.7.2022.</derivirana_varijabla>
  </DomainObject.Predmet.DatumIzradeOptuznogAktaFormated>
  <DomainObject.Predmet.DatumOsnivanja>
    <izvorni_sadrzaj>27. srpnja 2022.</izvorni_sadrzaj>
    <derivirana_varijabla naziv="DomainObject.Predmet.DatumOsnivanja_1">27. srpnja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srpnja 2022.</izvorni_sadrzaj>
    <derivirana_varijabla naziv="DomainObject.Predmet.DatumPrimitkaOptuznogAkta_1">27. srpnja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St-250/2022</izvorni_sadrzaj>
    <derivirana_varijabla naziv="DomainObject.Predmet.OznakaBroj_1">St-250/2022</derivirana_varijabla>
  </DomainObject.Predmet.OznakaBroj>
  <DomainObject.Predmet.OznakaBrojOptuznogAkta>
    <izvorni_sadrzaj>04-06-22-3833</izvorni_sadrzaj>
    <derivirana_varijabla naziv="DomainObject.Predmet.OznakaBrojOptuznogAkta_1">04-06-22-3833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predane u pisarnicu 5.12.2022.</izvorni_sadrzaj>
    <derivirana_varijabla naziv="DomainObject.Predmet.PrimjedbaSuca_1">Prijave tražbina predane u pisarnicu 5.12.2022.</derivirana_varijabla>
  </DomainObject.Predmet.PrimjedbaSuca>
  <DomainObject.Predmet.ProtustrankaFormated>
    <izvorni_sadrzaj>  GOGO PRIJEVOZ I UGOSTITELJSTVO j.d.o.o. za prijevoz i ugostiteljstvo u stečaju zastupanog po punomoćniku Gorazd Hrnčič</izvorni_sadrzaj>
    <derivirana_varijabla naziv="DomainObject.Predmet.ProtustrankaFormated_1">  GOGO PRIJEVOZ I UGOSTITELJSTVO j.d.o.o. za prijevoz i ugostiteljstvo u stečaju zastupanog po punomoćniku Gorazd Hrnčič</derivirana_varijabla>
  </DomainObject.Predmet.ProtustrankaFormated>
  <DomainObject.Predmet.ProtustrankaFormatedOIB>
    <izvorni_sadrzaj>  GOGO PRIJEVOZ I UGOSTITELJSTVO j.d.o.o. za prijevoz i ugostiteljstvo u stečaju, OIB 51107361076 zastupanog po punomoćniku Gorazd Hrnčič</izvorni_sadrzaj>
    <derivirana_varijabla naziv="DomainObject.Predmet.ProtustrankaFormatedOIB_1">  GOGO PRIJEVOZ I UGOSTITELJSTVO j.d.o.o. za prijevoz i ugostiteljstvo u stečaju, OIB 51107361076 zastupanog po punomoćniku Gorazd Hrnčič</derivirana_varijabla>
  </DomainObject.Predmet.ProtustrankaFormatedOIB>
  <DomainObject.Predmet.ProtustrankaFormatedWithAdress>
    <izvorni_sadrzaj> GOGO PRIJEVOZ I UGOSTITELJSTVO j.d.o.o. za prijevoz i ugostiteljstvo u stečaju, Selci Križovljanski 148, 42208 Selci Križovljanski zastupanog po punomoćniku Gorazd Hrnčič</izvorni_sadrzaj>
    <derivirana_varijabla naziv="DomainObject.Predmet.ProtustrankaFormatedWithAdress_1"> GOGO PRIJEVOZ I UGOSTITELJSTVO j.d.o.o. za prijevoz i ugostiteljstvo u stečaju, Selci Križovljanski 148, 42208 Selci Križovljanski zastupanog po punomoćniku Gorazd Hrnčič</derivirana_varijabla>
  </DomainObject.Predmet.ProtustrankaFormatedWithAdress>
  <DomainObject.Predmet.ProtustrankaFormatedWithAdressOIB>
    <izvorni_sadrzaj> GOGO PRIJEVOZ I UGOSTITELJSTVO j.d.o.o. za prijevoz i ugostiteljstvo u stečaju, OIB 51107361076, Selci Križovljanski 148, 42208 Selci Križovljanski zastupanog po punomoćniku Gorazd Hrnčič</izvorni_sadrzaj>
    <derivirana_varijabla naziv="DomainObject.Predmet.ProtustrankaFormatedWithAdressOIB_1"> GOGO PRIJEVOZ I UGOSTITELJSTVO j.d.o.o. za prijevoz i ugostiteljstvo u stečaju, OIB 51107361076, Selci Križovljanski 148, 42208 Selci Križovljanski zastupanog po punomoćniku Gorazd Hrnčič</derivirana_varijabla>
  </DomainObject.Predmet.ProtustrankaFormatedWithAdressOIB>
  <DomainObject.Predmet.ProtustrankaWithAdress>
    <izvorni_sadrzaj>GOGO PRIJEVOZ I UGOSTITELJSTVO j.d.o.o. za prijevoz i ugostiteljstvo u stečaju Selci Križovljanski 148, 42208 Selci Križovljanski</izvorni_sadrzaj>
    <derivirana_varijabla naziv="DomainObject.Predmet.ProtustrankaWithAdress_1">GOGO PRIJEVOZ I UGOSTITELJSTVO j.d.o.o. za prijevoz i ugostiteljstvo u stečaju Selci Križovljanski 148, 42208 Selci Križovljanski</derivirana_varijabla>
  </DomainObject.Predmet.ProtustrankaWithAdress>
  <DomainObject.Predmet.ProtustrankaWithAdressOIB>
    <izvorni_sadrzaj>GOGO PRIJEVOZ I UGOSTITELJSTVO j.d.o.o. za prijevoz i ugostiteljstvo u stečaju, OIB 51107361076, Selci Križovljanski 148, 42208 Selci Križovljanski</izvorni_sadrzaj>
    <derivirana_varijabla naziv="DomainObject.Predmet.ProtustrankaWithAdressOIB_1">GOGO PRIJEVOZ I UGOSTITELJSTVO j.d.o.o. za prijevoz i ugostiteljstvo u stečaju, OIB 51107361076, Selci Križovljanski 148, 42208 Selci Križovljanski</derivirana_varijabla>
  </DomainObject.Predmet.ProtustrankaWithAdressOIB>
  <DomainObject.Predmet.ProtustrankaNazivFormated>
    <izvorni_sadrzaj>GOGO PRIJEVOZ I UGOSTITELJSTVO j.d.o.o. za prijevoz i ugostiteljstvo u stečaju</izvorni_sadrzaj>
    <derivirana_varijabla naziv="DomainObject.Predmet.ProtustrankaNazivFormated_1">GOGO PRIJEVOZ I UGOSTITELJSTVO j.d.o.o. za prijevoz i ugostiteljstvo u stečaju</derivirana_varijabla>
  </DomainObject.Predmet.ProtustrankaNazivFormated>
  <DomainObject.Predmet.ProtustrankaNazivFormatedOIB>
    <izvorni_sadrzaj>GOGO PRIJEVOZ I UGOSTITELJSTVO j.d.o.o. za prijevoz i ugostiteljstvo u stečaju, OIB 51107361076</izvorni_sadrzaj>
    <derivirana_varijabla naziv="DomainObject.Predmet.ProtustrankaNazivFormatedOIB_1">GOGO PRIJEVOZ I UGOSTITELJSTVO j.d.o.o. za prijevoz i ugostiteljstvo u stečaju, OIB 51107361076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10293.97</izvorni_sadrzaj>
    <derivirana_varijabla naziv="DomainObject.Predmet.TrenutnaVrijednost_1">10293.97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GOGO PRIJEVOZ I UGOSTITELJSTVO j.d.o.o. za prijevoz i ugostiteljstvo u stečaju zastupanog po punomoćniku Gorazd Hrnčič</item>
    </izvorni_sadrzaj>
    <derivirana_varijabla naziv="DomainObject.Predmet.ProtuStrankaListFormated_1">
      <item>GOGO PRIJEVOZ I UGOSTITELJSTVO j.d.o.o. za prijevoz i ugostiteljstvo u stečaju zastupanog po punomoćniku Gorazd Hrnčič</item>
    </derivirana_varijabla>
  </DomainObject.Predmet.ProtuStrankaListFormated>
  <DomainObject.Predmet.ProtuStrankaListFormatedOIB>
    <izvorni_sadrzaj>
      <item>GOGO PRIJEVOZ I UGOSTITELJSTVO j.d.o.o. za prijevoz i ugostiteljstvo u stečaju, OIB 51107361076 zastupanog po punomoćniku Gorazd Hrnčič</item>
    </izvorni_sadrzaj>
    <derivirana_varijabla naziv="DomainObject.Predmet.ProtuStrankaListFormatedOIB_1">
      <item>GOGO PRIJEVOZ I UGOSTITELJSTVO j.d.o.o. za prijevoz i ugostiteljstvo u stečaju, OIB 51107361076 zastupanog po punomoćniku Gorazd Hrnčič</item>
    </derivirana_varijabla>
  </DomainObject.Predmet.ProtuStrankaListFormatedOIB>
  <DomainObject.Predmet.ProtuStrankaListFormatedWithAdress>
    <izvorni_sadrzaj>
      <item>GOGO PRIJEVOZ I UGOSTITELJSTVO j.d.o.o. za prijevoz i ugostiteljstvo u stečaju, Selci Križovljanski 148, 42208 Selci Križovljanski zastupanog po punomoćniku Gorazd Hrnčič</item>
    </izvorni_sadrzaj>
    <derivirana_varijabla naziv="DomainObject.Predmet.ProtuStrankaListFormatedWithAdress_1">
      <item>GOGO PRIJEVOZ I UGOSTITELJSTVO j.d.o.o. za prijevoz i ugostiteljstvo u stečaju, Selci Križovljanski 148, 42208 Selci Križovljanski zastupanog po punomoćniku Gorazd Hrnčič</item>
    </derivirana_varijabla>
  </DomainObject.Predmet.ProtuStrankaListFormatedWithAdress>
  <DomainObject.Predmet.ProtuStrankaListFormatedWithAdressOIB>
    <izvorni_sadrzaj>
      <item>GOGO PRIJEVOZ I UGOSTITELJSTVO j.d.o.o. za prijevoz i ugostiteljstvo u stečaju, OIB 51107361076, Selci Križovljanski 148, 42208 Selci Križovljanski zastupanog po punomoćniku Gorazd Hrnčič</item>
    </izvorni_sadrzaj>
    <derivirana_varijabla naziv="DomainObject.Predmet.ProtuStrankaListFormatedWithAdressOIB_1">
      <item>GOGO PRIJEVOZ I UGOSTITELJSTVO j.d.o.o. za prijevoz i ugostiteljstvo u stečaju, OIB 51107361076, Selci Križovljanski 148, 42208 Selci Križovljanski zastupanog po punomoćniku Gorazd Hrnčič</item>
    </derivirana_varijabla>
  </DomainObject.Predmet.ProtuStrankaListFormatedWithAdressOIB>
  <DomainObject.Predmet.ProtuStrankaListNazivFormated>
    <izvorni_sadrzaj>
      <item>GOGO PRIJEVOZ I UGOSTITELJSTVO j.d.o.o. za prijevoz i ugostiteljstvo u stečaju</item>
    </izvorni_sadrzaj>
    <derivirana_varijabla naziv="DomainObject.Predmet.ProtuStrankaListNazivFormated_1">
      <item>GOGO PRIJEVOZ I UGOSTITELJSTVO j.d.o.o. za prijevoz i ugostiteljstvo u stečaju</item>
    </derivirana_varijabla>
  </DomainObject.Predmet.ProtuStrankaListNazivFormated>
  <DomainObject.Predmet.ProtuStrankaListNazivFormatedOIB>
    <izvorni_sadrzaj>
      <item>GOGO PRIJEVOZ I UGOSTITELJSTVO j.d.o.o. za prijevoz i ugostiteljstvo u stečaju, OIB 51107361076</item>
    </izvorni_sadrzaj>
    <derivirana_varijabla naziv="DomainObject.Predmet.ProtuStrankaListNazivFormatedOIB_1">
      <item>GOGO PRIJEVOZ I UGOSTITELJSTVO j.d.o.o. za prijevoz i ugostiteljstvo u stečaju, OIB 51107361076</item>
    </derivirana_varijabla>
  </DomainObject.Predmet.ProtuStrankaListNazivFormatedOIB>
  <DomainObject.Predmet.OstaliListFormated>
    <izvorni_sadrzaj>
      <item>Gorazd Hrnčič punomoćnik sudionika u postupku GOGO PRIJEVOZ I UGOSTITELJSTVO j.d.o.o. za prijevoz i ugostiteljstvo u stečaju</item>
      <item>Policijska postaja Varaždin</item>
      <item>Ministarstvo financija, Porezna uprava, Područni ured Varaždin</item>
      <item>Slavica Orehovec</item>
      <item>Županijsko državno odvjetništvo u Varaždinu</item>
    </izvorni_sadrzaj>
    <derivirana_varijabla naziv="DomainObject.Predmet.OstaliListFormated_1">
      <item>Gorazd Hrnčič punomoćnik sudionika u postupku GOGO PRIJEVOZ I UGOSTITELJSTVO j.d.o.o. za prijevoz i ugostiteljstvo u stečaju</item>
      <item>Policijska postaja Varaždin</item>
      <item>Ministarstvo financija, Porezna uprava, Područni ured Varaždin</item>
      <item>Slavica Orehovec</item>
      <item>Županijsko državno odvjetništvo u Varaždinu</item>
    </derivirana_varijabla>
  </DomainObject.Predmet.OstaliListFormated>
  <DomainObject.Predmet.OstaliListFormatedOIB>
    <izvorni_sadrzaj>
      <item>Gorazd Hrnčič, OIB 85558128535 punomoćnik sudionika u postupku GOGO PRIJEVOZ I UGOSTITELJSTVO j.d.o.o. za prijevoz i ugostiteljstvo u stečaju</item>
      <item>Policijska postaja Varaždin</item>
      <item>Ministarstvo financija, Porezna uprava, Područni ured Varaždin</item>
      <item>Slavica Orehovec</item>
      <item>Županijsko državno odvjetništvo u Varaždinu</item>
    </izvorni_sadrzaj>
    <derivirana_varijabla naziv="DomainObject.Predmet.OstaliListFormatedOIB_1">
      <item>Gorazd Hrnčič, OIB 85558128535 punomoćnik sudionika u postupku GOGO PRIJEVOZ I UGOSTITELJSTVO j.d.o.o. za prijevoz i ugostiteljstvo u stečaju</item>
      <item>Policijska postaja Varaždin</item>
      <item>Ministarstvo financija, Porezna uprava, Područni ured Varaždin</item>
      <item>Slavica Orehovec</item>
      <item>Županijsko državno odvjetništvo u Varaždinu</item>
    </derivirana_varijabla>
  </DomainObject.Predmet.OstaliListFormatedOIB>
  <DomainObject.Predmet.OstaliListFormatedWithAdress>
    <izvorni_sadrzaj>
      <item>Gorazd Hrnčič, Malo Gradišće 5, 42208 Malo Gradišće punomoćnik sudionika u postupku GOGO PRIJEVOZ I UGOSTITELJSTVO j.d.o.o. za prijevoz i ugostiteljstvo u stečaju</item>
      <item>Policijska postaja Varaždin, Augusta Cesarca 18, 42000 Varaždin</item>
      <item>Ministarstvo financija, Porezna uprava, Područni ured Varaždin, Graberje 1, 42000 Varaždin</item>
      <item>Slavica Orehovec</item>
      <item>Županijsko državno odvjetništvo u Varaždinu, Braće Radića 2, 42000 Varaždin</item>
    </izvorni_sadrzaj>
    <derivirana_varijabla naziv="DomainObject.Predmet.OstaliListFormatedWithAdress_1">
      <item>Gorazd Hrnčič, Malo Gradišće 5, 42208 Malo Gradišće punomoćnik sudionika u postupku GOGO PRIJEVOZ I UGOSTITELJSTVO j.d.o.o. za prijevoz i ugostiteljstvo u stečaju</item>
      <item>Policijska postaja Varaždin, Augusta Cesarca 18, 42000 Varaždin</item>
      <item>Ministarstvo financija, Porezna uprava, Područni ured Varaždin, Graberje 1, 42000 Varaždin</item>
      <item>Slavica Orehovec</item>
      <item>Županijsko državno odvjetništvo u Varaždinu, Braće Radića 2, 42000 Varaždin</item>
    </derivirana_varijabla>
  </DomainObject.Predmet.OstaliListFormatedWithAdress>
  <DomainObject.Predmet.OstaliListFormatedWithAdressOIB>
    <izvorni_sadrzaj>
      <item>Gorazd Hrnčič, OIB 85558128535, Malo Gradišće 5, 42208 Malo Gradišće punomoćnik sudionika u postupku GOGO PRIJEVOZ I UGOSTITELJSTVO j.d.o.o. za prijevoz i ugostiteljstvo u stečaju</item>
      <item>Policijska postaja Varaždin, Augusta Cesarca 18, 42000 Varaždin</item>
      <item>Ministarstvo financija, Porezna uprava, Područni ured Varaždin, Graberje 1, 42000 Varaždin</item>
      <item>Slavica Orehovec</item>
      <item>Županijsko državno odvjetništvo u Varaždinu, Braće Radića 2, 42000 Varaždin</item>
    </izvorni_sadrzaj>
    <derivirana_varijabla naziv="DomainObject.Predmet.OstaliListFormatedWithAdressOIB_1">
      <item>Gorazd Hrnčič, OIB 85558128535, Malo Gradišće 5, 42208 Malo Gradišće punomoćnik sudionika u postupku GOGO PRIJEVOZ I UGOSTITELJSTVO j.d.o.o. za prijevoz i ugostiteljstvo u stečaju</item>
      <item>Policijska postaja Varaždin, Augusta Cesarca 18, 42000 Varaždin</item>
      <item>Ministarstvo financija, Porezna uprava, Područni ured Varaždin, Graberje 1, 42000 Varaždin</item>
      <item>Slavica Orehovec</item>
      <item>Županijsko državno odvjetništvo u Varaždinu, Braće Radića 2, 42000 Varaždin</item>
    </derivirana_varijabla>
  </DomainObject.Predmet.OstaliListFormatedWithAdressOIB>
  <DomainObject.Predmet.OstaliListNazivFormated>
    <izvorni_sadrzaj>
      <item>Gorazd Hrnčič</item>
      <item>Policijska postaja Varaždin</item>
      <item>Ministarstvo financija, Porezna uprava, Područni ured Varaždin</item>
      <item>Slavica Orehovec</item>
      <item>Županijsko državno odvjetništvo u Varaždinu</item>
    </izvorni_sadrzaj>
    <derivirana_varijabla naziv="DomainObject.Predmet.OstaliListNazivFormated_1">
      <item>Gorazd Hrnčič</item>
      <item>Policijska postaja Varaždin</item>
      <item>Ministarstvo financija, Porezna uprava, Područni ured Varaždin</item>
      <item>Slavica Orehovec</item>
      <item>Županijsko državno odvjetništvo u Varaždinu</item>
    </derivirana_varijabla>
  </DomainObject.Predmet.OstaliListNazivFormated>
  <DomainObject.Predmet.OstaliListNazivFormatedOIB>
    <izvorni_sadrzaj>
      <item>Gorazd Hrnčič, OIB 85558128535</item>
      <item>Policijska postaja Varaždin</item>
      <item>Ministarstvo financija, Porezna uprava, Područni ured Varaždin</item>
      <item>Slavica Orehovec</item>
      <item>Županijsko državno odvjetništvo u Varaždinu</item>
    </izvorni_sadrzaj>
    <derivirana_varijabla naziv="DomainObject.Predmet.OstaliListNazivFormatedOIB_1">
      <item>Gorazd Hrnčič, OIB 85558128535</item>
      <item>Policijska postaja Varaždin</item>
      <item>Ministarstvo financija, Porezna uprava, Područni ured Varaždin</item>
      <item>Slavica Orehovec</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prosinca 2022.</izvorni_sadrzaj>
    <derivirana_varijabla naziv="DomainObject.Datum_1">13. prosinca 2022.</derivirana_varijabla>
  </DomainObject.Datum>
  <DomainObject.PoslovniBrojDokumenta>
    <izvorni_sadrzaj>St-250/2022-20</izvorni_sadrzaj>
    <derivirana_varijabla naziv="DomainObject.PoslovniBrojDokumenta_1">St-250/2022-20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GOGO PRIJEVOZ I UGOSTITELJSTVO j.d.o.o. za prijevoz i ugostiteljstvo u stečaju</izvorni_sadrzaj>
    <derivirana_varijabla naziv="DomainObject.Predmet.ProtustrankaIDrugi_1">GOGO PRIJEVOZ I UGOSTITELJSTVO j.d.o.o. za prijevoz i ugostiteljstvo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GOGO PRIJEVOZ I UGOSTITELJSTVO j.d.o.o. za prijevoz i ugostiteljstvo u stečaju, OIB 51107361076, Selci Križovljanski 148, 42208 Selci Križovljanski</izvorni_sadrzaj>
    <derivirana_varijabla naziv="DomainObject.Predmet.ProtustrankaIDrugiAdressOIB_1">GOGO PRIJEVOZ I UGOSTITELJSTVO j.d.o.o. za prijevoz i ugostiteljstvo u stečaju, OIB 51107361076, Selci Križovljanski 148, 42208 Selci Križovljanski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GOGO PRIJEVOZ I UGOSTITELJSTVO j.d.o.o. za prijevoz i ugostiteljstvo u stečaju</item>
      <item>Financijska agencija</item>
      <item>Gorazd Hrnčič</item>
      <item>Policijska postaja Varaždin</item>
      <item>Ministarstvo financija, Porezna uprava, Područni ured Varaždin</item>
      <item>Slavica Orehovec</item>
      <item>Županijsko državno odvjetništvo u Varaždinu</item>
    </izvorni_sadrzaj>
    <derivirana_varijabla naziv="DomainObject.Predmet.SudioniciListNaziv_1">
      <item>GOGO PRIJEVOZ I UGOSTITELJSTVO j.d.o.o. za prijevoz i ugostiteljstvo u stečaju</item>
      <item>Financijska agencija</item>
      <item>Gorazd Hrnčič</item>
      <item>Policijska postaja Varaždin</item>
      <item>Ministarstvo financija, Porezna uprava, Područni ured Varaždin</item>
      <item>Slavica Orehovec</item>
      <item>Županijsko državno odvjetništvo u Varaždinu</item>
    </derivirana_varijabla>
  </DomainObject.Predmet.SudioniciListNaziv>
  <DomainObject.Predmet.SudioniciListAdressOIB>
    <izvorni_sadrzaj>
      <item>GOGO PRIJEVOZ I UGOSTITELJSTVO j.d.o.o. za prijevoz i ugostiteljstvo u stečaju, OIB 51107361076, Selci Križovljanski 148,42208 Selci Križovljanski</item>
      <item>Financijska agencija, OIB 85821130368, A.CESARCA 2,42000 Varaždin</item>
      <item>Gorazd Hrnčič, OIB 85558128535, Malo Gradišće 5,42208 Malo Gradišće</item>
      <item>Policijska postaja Varaždin, Augusta Cesarca 18,42000 Varaždin</item>
      <item>Ministarstvo financija, Porezna uprava, Područni ured Varaždin, Graberje 1,42000 Varaždin</item>
      <item>Slavica Orehovec</item>
      <item>Županijsko državno odvjetništvo u Varaždinu, Braće Radića 2,42000 Varaždin</item>
    </izvorni_sadrzaj>
    <derivirana_varijabla naziv="DomainObject.Predmet.SudioniciListAdressOIB_1">
      <item>GOGO PRIJEVOZ I UGOSTITELJSTVO j.d.o.o. za prijevoz i ugostiteljstvo u stečaju, OIB 51107361076, Selci Križovljanski 148,42208 Selci Križovljanski</item>
      <item>Financijska agencija, OIB 85821130368, A.CESARCA 2,42000 Varaždin</item>
      <item>Gorazd Hrnčič, OIB 85558128535, Malo Gradišće 5,42208 Malo Gradišće</item>
      <item>Policijska postaja Varaždin, Augusta Cesarca 18,42000 Varaždin</item>
      <item>Ministarstvo financija, Porezna uprava, Područni ured Varaždin, Graberje 1,42000 Varaždin</item>
      <item>Slavica Orehovec</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51107361076</item>
      <item>, OIB 85821130368</item>
      <item>, OIB 85558128535</item>
      <item>, OIB null</item>
      <item>, OIB null</item>
      <item>, OIB null</item>
      <item>, OIB null</item>
    </izvorni_sadrzaj>
    <derivirana_varijabla naziv="DomainObject.Predmet.SudioniciListNazivOIB_1">
      <item>, OIB 51107361076</item>
      <item>, OIB 85821130368</item>
      <item>, OIB 85558128535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Ulica kralja Zvonimira 7A, 40000 Čakovec</item>
    </izvorni_sadrzaj>
    <derivirana_varijabla naziv="DomainObject.Predmet.StecajniUpraviteljiListAddressOIB_1">
      <item>Slavica Orehovec, OIB 69855771162, Ulica kralja Zvonimira 7A,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srpnja 2022.</izvorni_sadrzaj>
    <derivirana_varijabla naziv="DomainObject.Predmet.DatumPocetkaProcesa_1">27. srpnja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EAB24B-A47F-41E9-90A1-1E1F4645975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1167</properties:Words>
  <properties:Characters>6411</properties:Characters>
  <properties:Lines>325</properties:Lines>
  <properties:Paragraphs>124</properties:Paragraphs>
  <properties:TotalTime>290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7574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2022-12-13T11:48:00Z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St-250/2022-20 / Zapisnik - Ispitno ročište (St-250-22-20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